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C17" w:rsidRPr="00C83C17" w:rsidRDefault="00C83C17" w:rsidP="00C83C17">
      <w:pPr>
        <w:spacing w:before="100" w:beforeAutospacing="1" w:after="100" w:afterAutospacing="1"/>
        <w:ind w:firstLine="0"/>
        <w:jc w:val="right"/>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 </w:t>
      </w:r>
      <w:r w:rsidRPr="00C83C17">
        <w:rPr>
          <w:rFonts w:eastAsia="Times New Roman" w:cs="Times New Roman"/>
          <w:sz w:val="24"/>
          <w:szCs w:val="24"/>
          <w:lang w:val="uk-UA" w:eastAsia="uk-UA"/>
        </w:rPr>
        <w:t>ЗАТВЕРДЖЕНО</w:t>
      </w:r>
      <w:r w:rsidRPr="00C83C17">
        <w:rPr>
          <w:rFonts w:eastAsia="Times New Roman" w:cs="Times New Roman"/>
          <w:sz w:val="24"/>
          <w:szCs w:val="24"/>
          <w:lang w:val="uk-UA" w:eastAsia="uk-UA"/>
        </w:rPr>
        <w:br/>
        <w:t>Наказ ___________________________</w:t>
      </w:r>
      <w:r w:rsidRPr="00C83C17">
        <w:rPr>
          <w:rFonts w:eastAsia="Times New Roman" w:cs="Times New Roman"/>
          <w:sz w:val="24"/>
          <w:szCs w:val="24"/>
          <w:lang w:val="uk-UA" w:eastAsia="uk-UA"/>
        </w:rPr>
        <w:br/>
        <w:t>"__" ______________20___ № ______</w:t>
      </w:r>
    </w:p>
    <w:p w:rsidR="00C83C17" w:rsidRDefault="00C83C17" w:rsidP="00C83C17">
      <w:pPr>
        <w:spacing w:before="100" w:beforeAutospacing="1" w:after="100" w:afterAutospacing="1"/>
        <w:ind w:firstLine="0"/>
        <w:jc w:val="center"/>
        <w:rPr>
          <w:rFonts w:eastAsia="Times New Roman" w:cs="Times New Roman"/>
          <w:b/>
          <w:bCs/>
          <w:spacing w:val="5"/>
          <w:sz w:val="24"/>
          <w:szCs w:val="24"/>
          <w:lang w:val="uk-UA" w:eastAsia="uk-UA"/>
        </w:rPr>
      </w:pPr>
    </w:p>
    <w:p w:rsidR="00C83C17" w:rsidRPr="00C83C17" w:rsidRDefault="00C83C17" w:rsidP="00C83C17">
      <w:pPr>
        <w:spacing w:before="100" w:beforeAutospacing="1" w:after="100" w:afterAutospacing="1"/>
        <w:ind w:firstLine="0"/>
        <w:jc w:val="center"/>
        <w:rPr>
          <w:rFonts w:eastAsia="Times New Roman" w:cs="Times New Roman"/>
          <w:color w:val="auto"/>
          <w:sz w:val="24"/>
          <w:szCs w:val="24"/>
          <w:lang w:val="uk-UA" w:eastAsia="uk-UA"/>
        </w:rPr>
      </w:pPr>
      <w:r w:rsidRPr="00C83C17">
        <w:rPr>
          <w:rFonts w:eastAsia="Times New Roman" w:cs="Times New Roman"/>
          <w:b/>
          <w:bCs/>
          <w:spacing w:val="5"/>
          <w:sz w:val="24"/>
          <w:szCs w:val="24"/>
          <w:lang w:val="uk-UA" w:eastAsia="uk-UA"/>
        </w:rPr>
        <w:t>ІНСТРУКЦІЯ</w:t>
      </w:r>
      <w:r w:rsidRPr="00C83C17">
        <w:rPr>
          <w:rFonts w:eastAsia="Times New Roman" w:cs="Times New Roman"/>
          <w:b/>
          <w:bCs/>
          <w:sz w:val="24"/>
          <w:szCs w:val="24"/>
          <w:lang w:val="uk-UA" w:eastAsia="uk-UA"/>
        </w:rPr>
        <w:br/>
        <w:t>про порядок дій працівників</w:t>
      </w:r>
      <w:r w:rsidRPr="00C83C17">
        <w:rPr>
          <w:rFonts w:eastAsia="Times New Roman" w:cs="Times New Roman"/>
          <w:b/>
          <w:bCs/>
          <w:sz w:val="24"/>
          <w:szCs w:val="24"/>
          <w:lang w:val="uk-UA" w:eastAsia="uk-UA"/>
        </w:rPr>
        <w:br/>
        <w:t>під час оголошення повітряної тривоги</w:t>
      </w: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1. Загальні положення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1.1. Ця Інструкція встановлює порядок оповіщення працівників [найменування підприємства] (далі — Підприємство), припинення або продовження роботи та переходу до укриття під час сигналу «Повітряна тривога».</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1.2. Інструкцію розроблено відповідно до статті 153 Кодексу законів про працю України, статті 6 Закону України «Про охорону праці», Кодексу цивільного захисту України та постанови Кабінету Міністрів України від 04 вересня 2026 року № 1092 «Деякі питання оптимізації захисту населення та реагування на загрози засобів повітряного нападу» зі змінами, внесеними постановою від 15 вересня 2026 року № 1128.</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1.3. Вимоги Інструкції обов’язкові для всіх працівників Підприємства. Відвідувачів інформують про тривогу, місця укриття та правила безпеки.</w:t>
      </w:r>
    </w:p>
    <w:p w:rsidR="00C83C17"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t>1.4. Жовтий рівень означає дронову загрозу; червоний рівень означає ракетну, ракетно-дронову або масовану дронову загрозу. Рівень визначають за офіційним повідомленням, а не лише за тривалістю сирени. Якщо рівень не повідомлено або його неможливо встановити, працівники діють за розділом 4 цієї Інструкції.</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2. Оповіщення та відповідальні особи</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2.1. Відповідальна особа або її заступник невідкладно доводить сигнал та офіційно повідомлений рівень загрози до працівників і відвідувачів через гучномовний зв’язок, внутрішні месенджери, електронну пошту або особисте повідомлення. Електронні повідомлення доповнюють оповіщення і не є єдиним способом, якщо не забезпечують його своєчасності.</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2. Наказом керівника призначають відповідальних осіб та їхніх заступників за оповіщення, організацію переходу до укриття, допомогу особам, які її потребують, перевірку приміщень і безпечне зупинення обладнання.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2.3. До початку застосування Інструкції керівник визначає основне і резервне укриття, маршрути руху та контакти відповідальних осіб. Ці відомості доводять до працівників і розміщують на інформаційних стендах. Адреса основного укриття: ___________________. Адреса резервного укриття: ____________________.</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2.4. Підприємство спільно з балансоутримувачем забезпечує розміщення передбачених постановою № 1092 інформаційних табличок про забезпеченість об’єкта укриттям або безпечним простором, а також доступність маршрутів і входів до визначених місць захисту.</w:t>
      </w:r>
    </w:p>
    <w:p w:rsidR="00C83C17" w:rsidRDefault="00C83C17" w:rsidP="00C83C17">
      <w:pPr>
        <w:spacing w:before="100" w:beforeAutospacing="1" w:after="120"/>
        <w:ind w:firstLine="0"/>
        <w:jc w:val="center"/>
        <w:rPr>
          <w:rFonts w:eastAsia="Times New Roman" w:cs="Times New Roman"/>
          <w:b/>
          <w:bCs/>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3. Порядок дій за жовтого рівня загрози</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3.1. Після повідомлення про жовтий рівень працівники припиняють операції, які можуть перешкодити безпечному переходу до укриття, та виконують повідомлений відповідальною особою порядок дій. Очікування вказівок не повинно затримувати перехід до укриття в разі небезпеки.</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3.2. За жовтого рівня діяльність може продовжуватися на об’єкті, де наявні захисні споруди, тимчасове або постійне укриття для персоналу та відвідувачів, або в будівлі чи споруді подвійного призначення, або в будівлі чи споруді, у складі якої є безпечний простір. Можливість і порядок роботи визначає керівник з урахуванням фактичних умов безпеки, підпункту 2 пункту 1 постанови № 1092 та обов’язкових приписів компетентних органів. За безпосередньої небезпеки застосовується розділ 4 цієї Інструкції.</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3.3. Якщо зазначені умови не забезпечено, роботу припиняють, а працівники переходять до визначеного укриття. Наказ керівника сам по собі не є підставою для продовження роботи на незабезпеченому об’єкті.</w:t>
      </w:r>
    </w:p>
    <w:p w:rsidR="00C83C17"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t>3.4. Працівник має право відмовитися від дорученої роботи, якщо виникла небезпечна для життя чи здоров’я виробнича ситуація. Про це він негайно повідомляє безпосереднього керівника або роботодавця доступним способом і переходить до укриття. Отримання попереднього дозволу не вимагається.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4. Порядок дій за червоного рівня загрози</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4.1. За червоного рівня, безпосередньої небезпеки або повідомлення про негайний перехід до укриття працівники припиняють роботу і невідкладно прямують до визначеного укриття встановленим маршрутом. Ліфтами не користуються.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4.2. Обладнання зупиняють відповідно до інструкцій лише тоді, коли це можна зробити швидко і безпечно. Заборонено затримувати перехід до укриття заради збереження майна, збирання документів або завершення робочих завдань. Речі першої потреби беруть, якщо вони поруч і це не затримує вихід.</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4.3. Відповідальні особи перевіряють приміщення та повідомляють працівників лише за можливості зробити це без ризику для себе та інших. Заборонено повертатися до небезпечних приміщень для їх перевірки або вимкнення обладнання.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4.4. Працівникам, які потребують допомоги під час переходу до укриття, завчасно визначають супроводжуючих осіб з урахуванням індивідуальних потреб. Допомогу організовують без затримки виходу інших працівників.</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4.5. Зачинення приміщень не повинно блокувати евакуаційні виходи. Входи до укриття мають залишатися доступними для людей, які прямують до нього; порядок користування захисними дверима визначається правилами експлуатації відповідної споруди.</w:t>
      </w:r>
    </w:p>
    <w:p w:rsidR="00863163" w:rsidRDefault="00863163" w:rsidP="00C83C17">
      <w:pPr>
        <w:spacing w:before="100" w:beforeAutospacing="1" w:after="120"/>
        <w:ind w:firstLine="0"/>
        <w:jc w:val="center"/>
        <w:rPr>
          <w:rFonts w:eastAsia="Times New Roman" w:cs="Times New Roman"/>
          <w:b/>
          <w:bCs/>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bookmarkStart w:id="0" w:name="_GoBack"/>
      <w:bookmarkEnd w:id="0"/>
      <w:r w:rsidRPr="00C83C17">
        <w:rPr>
          <w:rFonts w:eastAsia="Times New Roman" w:cs="Times New Roman"/>
          <w:b/>
          <w:bCs/>
          <w:sz w:val="24"/>
          <w:szCs w:val="24"/>
          <w:lang w:val="uk-UA" w:eastAsia="uk-UA"/>
        </w:rPr>
        <w:lastRenderedPageBreak/>
        <w:t>5. Перебування в укритті</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5.1. В укритті працівники виконують вказівки відповідальних осіб та правила користування укриттям, дотримуються пожежної безпеки, не блокують проходи і виходи, не вживають алкоголь. Засоби зв’язку за можливості підтримують у робочому стані.</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5.2. Відповідальна особа перевіряє наявність працівників за списком. У разі відсутності працівника з’ясовує його місцеперебування доступними засобами зв’язку, не направляючи людей у небезпечну зону.</w:t>
      </w:r>
    </w:p>
    <w:p w:rsidR="00C83C17"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t>5.3. У разі травмування, пожежі або іншої небезпеки відповідальна особа викликає допомогу за номером 112 або відповідну екстрену службу: 101 чи 103. Допомогу надають у межах підготовки та без ризику для власного життя. Якщо укриття стало небезпечним, діють за вказівками його відповідальної особи та екстрених служб.</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6. Повернення до роботи та облік часу</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6.1. Після офіційного повідомлення «Відбій повітряної тривоги» працівники повертаються до робочих місць за вказівкою відповідальної особи, якщо відсутні повідомлення про інші загрози та перешкоди для безпечного повернення.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6.2. За ознак пошкодження будівлі, обладнання, електромереж або інших небезпек роботу не відновлюють. Стан об’єкта перевіряють уповноважені фахівці. Відновлення роботи допускається після усунення небезпеки та дозволу керівника.</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6.3. Час припинення та відновлення роботи фіксує відповідальна особа і передає відомості працівнику, який веде облік робочого часу. Порядок табелювання й оплати визначається законодавством, колективним договором та належно оформленими рішеннями роботодавця залежно від фактичних обставин. Ця Інструкція не встановлює автоматичного зарахування всього часу тривоги до відпрацьованого часу.</w:t>
      </w:r>
    </w:p>
    <w:p w:rsidR="00C83C17"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t>6.4. Якщо зупинення роботи оформлено як простій, його оплату здійснюють відповідно до статті 113 КЗпП України. За час простою, коли виникла небезпечна для життя чи здоров’я працівника або людей, які його оточують, виробнича ситуація не з вини працівника, зберігають середній заробіток. Якщо працівник продовжує виконувати трудові обов’язки в безпечних умовах, обліковують фактично відпрацьований час.</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p>
    <w:p w:rsidR="00C83C17" w:rsidRPr="00C83C17" w:rsidRDefault="00C83C17" w:rsidP="00C83C17">
      <w:pPr>
        <w:spacing w:before="100" w:beforeAutospacing="1" w:after="120"/>
        <w:ind w:firstLine="0"/>
        <w:jc w:val="center"/>
        <w:rPr>
          <w:rFonts w:eastAsia="Times New Roman" w:cs="Times New Roman"/>
          <w:color w:val="auto"/>
          <w:sz w:val="24"/>
          <w:szCs w:val="24"/>
          <w:lang w:val="uk-UA" w:eastAsia="uk-UA"/>
        </w:rPr>
      </w:pPr>
      <w:r w:rsidRPr="00C83C17">
        <w:rPr>
          <w:rFonts w:eastAsia="Times New Roman" w:cs="Times New Roman"/>
          <w:b/>
          <w:bCs/>
          <w:sz w:val="24"/>
          <w:szCs w:val="24"/>
          <w:lang w:val="uk-UA" w:eastAsia="uk-UA"/>
        </w:rPr>
        <w:t>7. Прикінцеві положення</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7.1. Працівників ознайомлюють з Інструкцією під особистий підпис і проводять необхідний інструктаж до допуску до роботи. Ознайомлення фіксують у відмітках на документі або в окремому аркуші ознайомлення. Нові редакції Інструкції доводять до працівників у тому самому порядку.</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t>7.2. Інструкцію, схеми руху до укриттів та контакти відповідальних осіб розміщують у доступних місцях і на внутрішніх інформаційних ресурсах Підприємства.</w:t>
      </w:r>
    </w:p>
    <w:p w:rsidR="00C83C17" w:rsidRPr="00C83C17" w:rsidRDefault="00C83C17" w:rsidP="00C83C17">
      <w:pPr>
        <w:spacing w:before="100" w:beforeAutospacing="1" w:after="100" w:afterAutospacing="1"/>
        <w:ind w:firstLine="0"/>
        <w:rPr>
          <w:rFonts w:eastAsia="Times New Roman" w:cs="Times New Roman"/>
          <w:color w:val="auto"/>
          <w:sz w:val="24"/>
          <w:szCs w:val="24"/>
          <w:lang w:val="uk-UA" w:eastAsia="uk-UA"/>
        </w:rPr>
      </w:pPr>
      <w:r w:rsidRPr="00C83C17">
        <w:rPr>
          <w:rFonts w:eastAsia="Times New Roman" w:cs="Times New Roman"/>
          <w:sz w:val="24"/>
          <w:szCs w:val="24"/>
          <w:lang w:val="uk-UA" w:eastAsia="uk-UA"/>
        </w:rPr>
        <w:lastRenderedPageBreak/>
        <w:t>7.3. Відповідальність за порушення вимог Інструкції застосовується лише на підставах і в порядку, передбачених законодавством. Реалізація права працівника відмовитися від небезпечної роботи не є порушенням трудової дисципліни.</w:t>
      </w:r>
    </w:p>
    <w:p w:rsidR="00863163"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t xml:space="preserve">7.4. Інструкцію переглядають у разі змін законодавства, умов роботи, місць укриття, маршрутів руху або порядку оповіщення. Контроль за її виконанням покладається на </w:t>
      </w:r>
      <w:r>
        <w:rPr>
          <w:rFonts w:eastAsia="Times New Roman" w:cs="Times New Roman"/>
          <w:sz w:val="24"/>
          <w:szCs w:val="24"/>
          <w:lang w:val="uk-UA" w:eastAsia="uk-UA"/>
        </w:rPr>
        <w:t>(</w:t>
      </w:r>
      <w:r w:rsidRPr="00C83C17">
        <w:rPr>
          <w:rFonts w:eastAsia="Times New Roman" w:cs="Times New Roman"/>
          <w:sz w:val="24"/>
          <w:szCs w:val="24"/>
          <w:lang w:val="uk-UA" w:eastAsia="uk-UA"/>
        </w:rPr>
        <w:t>посада відповідальної</w:t>
      </w:r>
      <w:r>
        <w:rPr>
          <w:rFonts w:eastAsia="Times New Roman" w:cs="Times New Roman"/>
          <w:sz w:val="24"/>
          <w:szCs w:val="24"/>
          <w:lang w:val="uk-UA" w:eastAsia="uk-UA"/>
        </w:rPr>
        <w:t xml:space="preserve"> </w:t>
      </w:r>
      <w:r w:rsidRPr="00C83C17">
        <w:rPr>
          <w:rFonts w:eastAsia="Times New Roman" w:cs="Times New Roman"/>
          <w:sz w:val="24"/>
          <w:szCs w:val="24"/>
          <w:lang w:val="uk-UA" w:eastAsia="uk-UA"/>
        </w:rPr>
        <w:t>особи</w:t>
      </w:r>
      <w:r>
        <w:rPr>
          <w:rFonts w:eastAsia="Times New Roman" w:cs="Times New Roman"/>
          <w:sz w:val="24"/>
          <w:szCs w:val="24"/>
          <w:lang w:val="uk-UA" w:eastAsia="uk-UA"/>
        </w:rPr>
        <w:t>)</w:t>
      </w:r>
      <w:r w:rsidRPr="00C83C17">
        <w:rPr>
          <w:rFonts w:eastAsia="Times New Roman" w:cs="Times New Roman"/>
          <w:sz w:val="24"/>
          <w:szCs w:val="24"/>
          <w:lang w:val="uk-UA" w:eastAsia="uk-UA"/>
        </w:rPr>
        <w:t>.</w:t>
      </w:r>
    </w:p>
    <w:p w:rsidR="00C83C17" w:rsidRPr="00C83C17" w:rsidRDefault="00C83C17" w:rsidP="00C83C17">
      <w:pPr>
        <w:spacing w:before="100" w:beforeAutospacing="1" w:after="100" w:afterAutospacing="1"/>
        <w:ind w:firstLine="0"/>
        <w:rPr>
          <w:rFonts w:eastAsia="Times New Roman" w:cs="Times New Roman"/>
          <w:sz w:val="24"/>
          <w:szCs w:val="24"/>
          <w:lang w:val="uk-UA" w:eastAsia="uk-UA"/>
        </w:rPr>
      </w:pPr>
      <w:r w:rsidRPr="00C83C17">
        <w:rPr>
          <w:rFonts w:eastAsia="Times New Roman" w:cs="Times New Roman"/>
          <w:sz w:val="24"/>
          <w:szCs w:val="24"/>
          <w:lang w:val="uk-UA" w:eastAsia="uk-UA"/>
        </w:rPr>
        <w:br/>
        <w:t>​​​​</w:t>
      </w:r>
    </w:p>
    <w:p w:rsidR="00C83C17" w:rsidRPr="00C83C17" w:rsidRDefault="00C83C17" w:rsidP="00C83C17">
      <w:pPr>
        <w:spacing w:before="100" w:beforeAutospacing="1" w:after="100" w:afterAutospacing="1"/>
        <w:ind w:firstLine="0"/>
        <w:jc w:val="left"/>
        <w:rPr>
          <w:rFonts w:eastAsia="Times New Roman" w:cs="Times New Roman"/>
          <w:color w:val="auto"/>
          <w:sz w:val="24"/>
          <w:szCs w:val="24"/>
          <w:lang w:val="uk-UA" w:eastAsia="uk-UA"/>
        </w:rPr>
      </w:pPr>
      <w:r w:rsidRPr="00C83C17">
        <w:rPr>
          <w:rFonts w:eastAsia="Times New Roman" w:cs="Times New Roman"/>
          <w:sz w:val="24"/>
          <w:szCs w:val="24"/>
          <w:lang w:val="uk-UA" w:eastAsia="uk-UA"/>
        </w:rPr>
        <w:t>Посада розробника          __________________          (Ім’я ПРІЗВИЩЕ)</w:t>
      </w:r>
      <w:r w:rsidRPr="00C83C17">
        <w:rPr>
          <w:rFonts w:eastAsia="Times New Roman" w:cs="Times New Roman"/>
          <w:sz w:val="24"/>
          <w:szCs w:val="24"/>
          <w:lang w:val="uk-UA" w:eastAsia="uk-UA"/>
        </w:rPr>
        <w:br/>
        <w:t>                                                     підпис</w:t>
      </w:r>
      <w:r w:rsidRPr="00C83C17">
        <w:rPr>
          <w:rFonts w:eastAsia="Times New Roman" w:cs="Times New Roman"/>
          <w:sz w:val="24"/>
          <w:szCs w:val="24"/>
          <w:lang w:val="uk-UA" w:eastAsia="uk-UA"/>
        </w:rPr>
        <w:br/>
        <w:t>"__" ______________20___</w:t>
      </w:r>
    </w:p>
    <w:p w:rsidR="00C83C17" w:rsidRPr="00C83C17" w:rsidRDefault="00C83C17" w:rsidP="00C83C17">
      <w:pPr>
        <w:spacing w:before="100" w:beforeAutospacing="1" w:after="100" w:afterAutospacing="1"/>
        <w:ind w:firstLine="0"/>
        <w:jc w:val="left"/>
        <w:rPr>
          <w:rFonts w:eastAsia="Times New Roman" w:cs="Times New Roman"/>
          <w:color w:val="auto"/>
          <w:sz w:val="24"/>
          <w:szCs w:val="24"/>
          <w:lang w:val="uk-UA" w:eastAsia="uk-UA"/>
        </w:rPr>
      </w:pPr>
    </w:p>
    <w:p w:rsidR="00863163" w:rsidRPr="00C83C17" w:rsidRDefault="00C83C17" w:rsidP="00863163">
      <w:pPr>
        <w:spacing w:before="100" w:beforeAutospacing="1" w:after="100" w:afterAutospacing="1"/>
        <w:ind w:firstLine="0"/>
        <w:jc w:val="left"/>
        <w:rPr>
          <w:rFonts w:eastAsia="Times New Roman" w:cs="Times New Roman"/>
          <w:color w:val="auto"/>
          <w:sz w:val="24"/>
          <w:szCs w:val="24"/>
          <w:lang w:val="uk-UA" w:eastAsia="uk-UA"/>
        </w:rPr>
      </w:pPr>
      <w:r w:rsidRPr="00C83C17">
        <w:rPr>
          <w:rFonts w:eastAsia="Times New Roman" w:cs="Times New Roman"/>
          <w:sz w:val="24"/>
          <w:szCs w:val="24"/>
          <w:lang w:val="uk-UA" w:eastAsia="uk-UA"/>
        </w:rPr>
        <w:t>З Інструкцією ознайомлений / ознайомлена:</w:t>
      </w:r>
      <w:r w:rsidR="00863163">
        <w:rPr>
          <w:rFonts w:eastAsia="Times New Roman" w:cs="Times New Roman"/>
          <w:color w:val="auto"/>
          <w:sz w:val="24"/>
          <w:szCs w:val="24"/>
          <w:lang w:val="uk-UA" w:eastAsia="uk-UA"/>
        </w:rPr>
        <w:br/>
      </w:r>
      <w:r w:rsidR="00863163">
        <w:rPr>
          <w:rFonts w:eastAsia="Times New Roman" w:cs="Times New Roman"/>
          <w:color w:val="auto"/>
          <w:sz w:val="24"/>
          <w:szCs w:val="24"/>
          <w:lang w:val="uk-UA" w:eastAsia="uk-UA"/>
        </w:rPr>
        <w:br/>
      </w:r>
      <w:r w:rsidRPr="00C83C17">
        <w:rPr>
          <w:rFonts w:eastAsia="Times New Roman" w:cs="Times New Roman"/>
          <w:sz w:val="24"/>
          <w:szCs w:val="24"/>
          <w:lang w:val="uk-UA" w:eastAsia="uk-UA"/>
        </w:rPr>
        <w:t xml:space="preserve">Посада          </w:t>
      </w:r>
      <w:r w:rsidR="00863163">
        <w:rPr>
          <w:rFonts w:eastAsia="Times New Roman" w:cs="Times New Roman"/>
          <w:sz w:val="24"/>
          <w:szCs w:val="24"/>
          <w:lang w:val="uk-UA" w:eastAsia="uk-UA"/>
        </w:rPr>
        <w:tab/>
        <w:t xml:space="preserve">                  </w:t>
      </w:r>
      <w:r w:rsidRPr="00C83C17">
        <w:rPr>
          <w:rFonts w:eastAsia="Times New Roman" w:cs="Times New Roman"/>
          <w:sz w:val="24"/>
          <w:szCs w:val="24"/>
          <w:lang w:val="uk-UA" w:eastAsia="uk-UA"/>
        </w:rPr>
        <w:t>__________________          (Ім’я ПРІЗВИЩЕ)</w:t>
      </w:r>
      <w:r w:rsidRPr="00C83C17">
        <w:rPr>
          <w:rFonts w:eastAsia="Times New Roman" w:cs="Times New Roman"/>
          <w:sz w:val="24"/>
          <w:szCs w:val="24"/>
          <w:lang w:val="uk-UA" w:eastAsia="uk-UA"/>
        </w:rPr>
        <w:br/>
        <w:t>                                                     </w:t>
      </w:r>
      <w:r>
        <w:rPr>
          <w:rFonts w:eastAsia="Times New Roman" w:cs="Times New Roman"/>
          <w:sz w:val="24"/>
          <w:szCs w:val="24"/>
          <w:lang w:val="uk-UA" w:eastAsia="uk-UA"/>
        </w:rPr>
        <w:t xml:space="preserve"> </w:t>
      </w:r>
      <w:r w:rsidRPr="00C83C17">
        <w:rPr>
          <w:rFonts w:eastAsia="Times New Roman" w:cs="Times New Roman"/>
          <w:sz w:val="24"/>
          <w:szCs w:val="24"/>
          <w:lang w:val="uk-UA" w:eastAsia="uk-UA"/>
        </w:rPr>
        <w:t>підпис</w:t>
      </w:r>
      <w:r w:rsidR="00863163">
        <w:rPr>
          <w:rFonts w:eastAsia="Times New Roman" w:cs="Times New Roman"/>
          <w:sz w:val="24"/>
          <w:szCs w:val="24"/>
          <w:lang w:val="uk-UA" w:eastAsia="uk-UA"/>
        </w:rPr>
        <w:br/>
      </w:r>
      <w:r w:rsidR="00863163" w:rsidRPr="00C83C17">
        <w:rPr>
          <w:rFonts w:eastAsia="Times New Roman" w:cs="Times New Roman"/>
          <w:sz w:val="24"/>
          <w:szCs w:val="24"/>
          <w:lang w:val="uk-UA" w:eastAsia="uk-UA"/>
        </w:rPr>
        <w:t>"__" ______________20___</w:t>
      </w:r>
    </w:p>
    <w:p w:rsidR="00C83C17" w:rsidRPr="00C83C17" w:rsidRDefault="00C83C17" w:rsidP="00C83C17">
      <w:pPr>
        <w:spacing w:before="100" w:beforeAutospacing="1" w:after="100" w:afterAutospacing="1"/>
        <w:ind w:firstLine="0"/>
        <w:jc w:val="left"/>
        <w:rPr>
          <w:rFonts w:eastAsia="Times New Roman" w:cs="Times New Roman"/>
          <w:color w:val="auto"/>
          <w:sz w:val="24"/>
          <w:szCs w:val="24"/>
          <w:lang w:val="uk-UA" w:eastAsia="uk-UA"/>
        </w:rPr>
      </w:pPr>
    </w:p>
    <w:p w:rsidR="00C83C17" w:rsidRPr="00C83C17" w:rsidRDefault="00C83C17" w:rsidP="00C83C17">
      <w:pPr>
        <w:spacing w:before="100" w:beforeAutospacing="1" w:after="100" w:afterAutospacing="1"/>
        <w:ind w:firstLine="0"/>
        <w:jc w:val="left"/>
        <w:rPr>
          <w:rFonts w:eastAsia="Times New Roman" w:cs="Times New Roman"/>
          <w:color w:val="auto"/>
          <w:sz w:val="24"/>
          <w:szCs w:val="24"/>
          <w:lang w:val="uk-UA" w:eastAsia="uk-UA"/>
        </w:rPr>
      </w:pPr>
    </w:p>
    <w:p w:rsidR="00DE613B" w:rsidRPr="00C83C17" w:rsidRDefault="00DE613B" w:rsidP="00C83C17">
      <w:pPr>
        <w:rPr>
          <w:lang w:val="uk-UA"/>
        </w:rPr>
      </w:pPr>
    </w:p>
    <w:sectPr w:rsidR="00DE613B" w:rsidRPr="00C83C17" w:rsidSect="00C83C17">
      <w:headerReference w:type="default" r:id="rId8"/>
      <w:pgSz w:w="11906" w:h="16838"/>
      <w:pgMar w:top="1134" w:right="850" w:bottom="1134"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2D53" w:rsidRDefault="000B2D53">
      <w:r>
        <w:separator/>
      </w:r>
    </w:p>
  </w:endnote>
  <w:endnote w:type="continuationSeparator" w:id="0">
    <w:p w:rsidR="000B2D53" w:rsidRDefault="000B2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2D53" w:rsidRDefault="000B2D53">
      <w:r>
        <w:separator/>
      </w:r>
    </w:p>
  </w:footnote>
  <w:footnote w:type="continuationSeparator" w:id="0">
    <w:p w:rsidR="000B2D53" w:rsidRDefault="000B2D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613B" w:rsidRDefault="00DE613B" w:rsidP="00C83C17">
    <w:pPr>
      <w:pStyle w:val="a5"/>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2D53"/>
    <w:rsid w:val="000F565F"/>
    <w:rsid w:val="0015074B"/>
    <w:rsid w:val="0029639D"/>
    <w:rsid w:val="00326F90"/>
    <w:rsid w:val="00863163"/>
    <w:rsid w:val="00AA1D8D"/>
    <w:rsid w:val="00B47730"/>
    <w:rsid w:val="00C83C17"/>
    <w:rsid w:val="00CB0664"/>
    <w:rsid w:val="00DE61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7EABB3"/>
  <w14:defaultImageDpi w14:val="300"/>
  <w15:docId w15:val="{8C67E595-5B6A-4B25-972C-5237F1368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0" w:line="240" w:lineRule="auto"/>
      <w:ind w:firstLine="567"/>
      <w:jc w:val="both"/>
    </w:pPr>
    <w:rPr>
      <w:rFonts w:ascii="Times New Roman" w:hAnsi="Times New Roman"/>
      <w:color w:val="000000"/>
      <w:sz w:val="28"/>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rFonts w:asciiTheme="majorHAnsi" w:eastAsiaTheme="majorEastAsia" w:hAnsiTheme="majorHAnsi" w:cstheme="majorBidi"/>
      <w:spacing w:val="5"/>
      <w:kern w:val="28"/>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567"/>
    </w:pPr>
    <w:rPr>
      <w:rFonts w:asciiTheme="majorHAnsi" w:eastAsiaTheme="majorEastAsia" w:hAnsiTheme="majorHAnsi" w:cstheme="majorBidi"/>
      <w:i/>
      <w:iCs/>
      <w:color w:val="4F81BD" w:themeColor="accent1"/>
      <w:spacing w:val="15"/>
      <w:sz w:val="24"/>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Normal (Web)"/>
    <w:basedOn w:val="a1"/>
    <w:uiPriority w:val="99"/>
    <w:semiHidden/>
    <w:unhideWhenUsed/>
    <w:rsid w:val="00C83C17"/>
    <w:pPr>
      <w:spacing w:before="100" w:beforeAutospacing="1" w:after="100" w:afterAutospacing="1"/>
      <w:ind w:firstLine="0"/>
      <w:jc w:val="left"/>
    </w:pPr>
    <w:rPr>
      <w:rFonts w:eastAsia="Times New Roman" w:cs="Times New Roman"/>
      <w:color w:val="auto"/>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9506090">
      <w:bodyDiv w:val="1"/>
      <w:marLeft w:val="0"/>
      <w:marRight w:val="0"/>
      <w:marTop w:val="0"/>
      <w:marBottom w:val="0"/>
      <w:divBdr>
        <w:top w:val="none" w:sz="0" w:space="0" w:color="auto"/>
        <w:left w:val="none" w:sz="0" w:space="0" w:color="auto"/>
        <w:bottom w:val="none" w:sz="0" w:space="0" w:color="auto"/>
        <w:right w:val="none" w:sz="0" w:space="0" w:color="auto"/>
      </w:divBdr>
    </w:div>
    <w:div w:id="16422695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6609C-1C03-42B8-A031-2DF7BB553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5248</Words>
  <Characters>2992</Characters>
  <Application>Microsoft Office Word</Application>
  <DocSecurity>0</DocSecurity>
  <Lines>24</Lines>
  <Paragraphs>16</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profpressa10</cp:lastModifiedBy>
  <cp:revision>2</cp:revision>
  <dcterms:created xsi:type="dcterms:W3CDTF">2026-10-08T16:01:00Z</dcterms:created>
  <dcterms:modified xsi:type="dcterms:W3CDTF">2026-10-08T16:01:00Z</dcterms:modified>
  <cp:category/>
</cp:coreProperties>
</file>