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68DE" w14:textId="77777777" w:rsidR="001976FA" w:rsidRDefault="001976FA" w:rsidP="001976FA">
      <w:pPr>
        <w:pStyle w:val="ShapkaDocumentu"/>
        <w:keepNext w:val="0"/>
        <w:keepLines w:val="0"/>
        <w:ind w:left="5670"/>
        <w:rPr>
          <w:rFonts w:ascii="Times New Roman" w:hAnsi="Times New Roman"/>
          <w:sz w:val="28"/>
          <w:szCs w:val="28"/>
        </w:rPr>
      </w:pPr>
      <w:r>
        <w:rPr>
          <w:rFonts w:ascii="Times New Roman" w:hAnsi="Times New Roman"/>
          <w:sz w:val="28"/>
          <w:szCs w:val="28"/>
        </w:rPr>
        <w:t>Додаток 3</w:t>
      </w:r>
      <w:r w:rsidRPr="000D6382">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br/>
        <w:t>до Порядку</w:t>
      </w:r>
    </w:p>
    <w:p w14:paraId="34C7CDFD" w14:textId="77777777" w:rsidR="001976FA" w:rsidRDefault="001976FA" w:rsidP="001976FA">
      <w:pPr>
        <w:pStyle w:val="a4"/>
        <w:keepNext w:val="0"/>
        <w:keepLines w:val="0"/>
        <w:rPr>
          <w:rFonts w:ascii="Times New Roman" w:hAnsi="Times New Roman"/>
          <w:b w:val="0"/>
          <w:sz w:val="28"/>
          <w:szCs w:val="28"/>
        </w:rPr>
      </w:pPr>
      <w:r>
        <w:rPr>
          <w:rFonts w:ascii="Times New Roman" w:hAnsi="Times New Roman"/>
          <w:b w:val="0"/>
          <w:sz w:val="28"/>
          <w:szCs w:val="28"/>
        </w:rPr>
        <w:t>ПИТАННЯ,</w:t>
      </w:r>
      <w:r>
        <w:rPr>
          <w:rFonts w:ascii="Times New Roman" w:hAnsi="Times New Roman"/>
          <w:b w:val="0"/>
          <w:sz w:val="28"/>
          <w:szCs w:val="28"/>
        </w:rPr>
        <w:br/>
        <w:t xml:space="preserve">які підлягають перевірці з організації та ведення військового </w:t>
      </w:r>
      <w:r>
        <w:rPr>
          <w:rFonts w:ascii="Times New Roman" w:hAnsi="Times New Roman"/>
          <w:b w:val="0"/>
          <w:sz w:val="28"/>
          <w:szCs w:val="28"/>
        </w:rPr>
        <w:br/>
        <w:t>обліку призовників, військовозобов’язаних та резервістів,</w:t>
      </w:r>
      <w:r>
        <w:rPr>
          <w:rFonts w:ascii="Times New Roman" w:hAnsi="Times New Roman"/>
          <w:b w:val="0"/>
          <w:sz w:val="28"/>
          <w:szCs w:val="28"/>
        </w:rPr>
        <w:br/>
        <w:t>забезпечення функціонування системи військового обліку</w:t>
      </w:r>
    </w:p>
    <w:p w14:paraId="7036255E"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1. Під час перевірки центральних і місцевих органів виконавчої влади, інших державних органів (далі — державні органи) перевіряються їх апарати (секретаріати) з питань:</w:t>
      </w:r>
    </w:p>
    <w:p w14:paraId="68448BC5"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організації військового обліку призовників, військовозобов’язаних та резервістів (далі — військовий облік) у відповідному державному органі, сфері управління (галузі економіки) та здійснення контролю за його станом;</w:t>
      </w:r>
    </w:p>
    <w:p w14:paraId="28B2F1E3"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стану ведення військового обліку з питань, зазначених у пункті 4 цього додатка;</w:t>
      </w:r>
    </w:p>
    <w:p w14:paraId="73F66BD3"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стану методологічного та методичного забезпечення заходів військового обліку, організації та стану підвищення кваліфікації осіб, відповідальних за ведення військового обліку;</w:t>
      </w:r>
    </w:p>
    <w:p w14:paraId="4F93801A"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 xml:space="preserve">наявності та змісту наказів (розпоряджень) державних органів з питань військового обліку за минулий рік, завдання на наступний рік, планів перевірок стану військового обліку, графіків звіряння облікових даних призовників, військовозобов’язаних та резервістів, інших документів з питань військового обліку, а також стану виконання зазначених документів;  </w:t>
      </w:r>
    </w:p>
    <w:p w14:paraId="68A6486C"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організації та стану бронювання військовозобов’язаних, які працюють у державному органі, на підприємствах, в установах та організаціях, що належать до сфери управління державного органу, перебувають у його підпорядкуванні або залучаються ним до виконання мобілізаційних завдань (обґрунтованість бронювання військовозобов’язаних, а також обсягів такого бронювання, наявність звітної документації з питань бронювання військовозобов’язаних тощо).</w:t>
      </w:r>
    </w:p>
    <w:p w14:paraId="4E35556A"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Крім того, з питань організації та ведення військового обліку перевіряються територіальні органи (підрозділи), а також два — п’ять підприємств, установ та організацій, що належать до сфери управління державного органу, перебувають у його підпорядкуванні, з питань, зазначених у пункті 3 цього додатка.</w:t>
      </w:r>
    </w:p>
    <w:p w14:paraId="6F1A98D9"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2. Перевірка організації та ведення військового обліку в органах місцевого самоврядування (крім сільських, селищних, міських рад, на виконавчі органи яких покладається ведення персонально-первинного військового обліку) проводиться з питань, зазначених у пункті 4 цього додатка.</w:t>
      </w:r>
    </w:p>
    <w:p w14:paraId="6A66B8C3"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lastRenderedPageBreak/>
        <w:t>3. Під час перевірки виконавчих органів сільських, селищних, міських рад, на які покладається ведення персонально-первинного військового обліку, перевіряється:</w:t>
      </w:r>
    </w:p>
    <w:p w14:paraId="01CAFB78"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порядок взяття на персонально-первинний військовий облік громадян, які прибули на нове місце проживання</w:t>
      </w:r>
      <w:r>
        <w:rPr>
          <w:shd w:val="clear" w:color="auto" w:fill="FFFFFF"/>
        </w:rPr>
        <w:t xml:space="preserve"> </w:t>
      </w:r>
      <w:r>
        <w:rPr>
          <w:rFonts w:ascii="Times New Roman" w:hAnsi="Times New Roman"/>
          <w:sz w:val="28"/>
          <w:szCs w:val="28"/>
        </w:rPr>
        <w:t>до адміністративно-територіальної одиниці, що обслуговується виконавчим органом сільської, селищної або міської ради;</w:t>
      </w:r>
    </w:p>
    <w:p w14:paraId="631DC9E9"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порядок виключення з персонально-первинного військового обліку громадян під час їх вибуття в іншу місцевість (адміністративно-територіальну одиницю) до нового місця проживання;</w:t>
      </w:r>
    </w:p>
    <w:p w14:paraId="08D7ED01"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наявність та ведення картотеки карток первинного обліку призовників, військовозобов’язаних та резервістів (далі — картки первинного обліку), її побудова, а також порядок зберігання карток первинного обліку; стан дотримання встановлених строків внесення до карток первинного обліку змін, які стосуються сімейного стану, місця проживання, освіти, місця роботи і посади призовників, військовозобов’язаних та резервістів, та повідомлень районних (міських) територіальних центрів комплектування та соціальної підтримки, органів СБУ, підрозділів Служби зовнішньої розвідки про такі зміни;</w:t>
      </w:r>
    </w:p>
    <w:p w14:paraId="5EAC056B"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стан методологічного та методичного забезпечення заходів військового обліку;</w:t>
      </w:r>
    </w:p>
    <w:p w14:paraId="0858D3B5"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стан забезпечення оповіщення та прибуття призовників, військовозобов’язаних та резервістів до відповідних районних (міських) територіальних центрів комплектування та соціальної підтримки, органів СБУ, підрозділів Служби зовнішньої розвідки;</w:t>
      </w:r>
    </w:p>
    <w:p w14:paraId="52BE8791"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організація планування та здійснення звіряння облікових даних карток первинного обліку з обліковими даними, що містяться у списках персонального військового обліку підприємств, установ та організацій, з документами з питань реєстрації місця проживання (перебування) фізичних осіб, а також з місцем їх фактичного проживання (наявність та стан виконання відповідного графіка звіряння);</w:t>
      </w:r>
    </w:p>
    <w:p w14:paraId="7263A415"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організація, стан та результати звіряння облікових даних карток первинного обліку з обліковими даними відповідних районних (міських) територіальних центрів комплектування та соціальної підтримки, органів СБУ, підрозділів Служби зовнішньої розвідки (наявність та стан виконання відповідного графіка звіряння);</w:t>
      </w:r>
    </w:p>
    <w:p w14:paraId="739AB4BC"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організація здійснення контролю за виконанням особами, відповідальними за організацію та ведення військового обліку на підприємствах, в установах та організаціях (в межах адміністративно-територіальної одиниці), Порядку організації та ведення військового обліку призовників, військовозобов’язаних та резервістів,</w:t>
      </w:r>
      <w:r>
        <w:rPr>
          <w:rFonts w:ascii="Times New Roman" w:hAnsi="Times New Roman"/>
          <w:color w:val="00B050"/>
          <w:sz w:val="28"/>
          <w:szCs w:val="28"/>
        </w:rPr>
        <w:t xml:space="preserve"> </w:t>
      </w:r>
      <w:r>
        <w:rPr>
          <w:rFonts w:ascii="Times New Roman" w:hAnsi="Times New Roman"/>
          <w:sz w:val="28"/>
          <w:szCs w:val="28"/>
        </w:rPr>
        <w:t xml:space="preserve">затвердженого постановою Кабінету Міністрів України від 30 грудня 2022 р. № 1487 </w:t>
      </w:r>
      <w:r>
        <w:rPr>
          <w:rFonts w:ascii="Times New Roman" w:hAnsi="Times New Roman"/>
          <w:sz w:val="28"/>
          <w:szCs w:val="28"/>
        </w:rPr>
        <w:br/>
        <w:t xml:space="preserve">(далі — Порядок організації та ведення військового обліку), а громадянами </w:t>
      </w:r>
      <w:r>
        <w:rPr>
          <w:rFonts w:ascii="Times New Roman" w:hAnsi="Times New Roman"/>
          <w:sz w:val="28"/>
          <w:szCs w:val="28"/>
        </w:rPr>
        <w:lastRenderedPageBreak/>
        <w:t>України — Правил військового обліку призовників, військовозобов’язаних та резервістів (додаток 2 до зазначеного Порядку) (далі — Правила військового обліку);</w:t>
      </w:r>
    </w:p>
    <w:p w14:paraId="11147AEC"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організація роботи з виявлення призовників, військовозобов’язаних та резервістів, які не перебувають в них на військовому обліку, а також заходи, які вживаються для взяття таких осіб на військовий облік;</w:t>
      </w:r>
    </w:p>
    <w:p w14:paraId="59BC757E"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організація та результати усунення недоліків, виявлених під час проведення попередніх перевірок стану військового обліку;</w:t>
      </w:r>
    </w:p>
    <w:p w14:paraId="2DF440BC"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стан охоплення персонально-первинним військовим обліком громадян, які підлягають приписці до призовної дільниці; своєчасність надсилання (повнота складання) списків таких громадян до районних (міських) територіальних центрів комплектування та соціальної підтримки;</w:t>
      </w:r>
    </w:p>
    <w:p w14:paraId="0E643D99"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 xml:space="preserve">організація та стан бронювання військовозобов’язаних, які працюють в органі місцевого самоврядування, на підпорядкованих підприємствах, в установах та організаціях або залучаються таким органом до виконання </w:t>
      </w:r>
      <w:r>
        <w:rPr>
          <w:rFonts w:ascii="Times New Roman" w:hAnsi="Times New Roman"/>
          <w:spacing w:val="-4"/>
          <w:sz w:val="28"/>
          <w:szCs w:val="28"/>
        </w:rPr>
        <w:t>мобілізаційних завдань (обґрунтованість бронювання військовозобов’язаних,</w:t>
      </w:r>
      <w:r>
        <w:rPr>
          <w:rFonts w:ascii="Times New Roman" w:hAnsi="Times New Roman"/>
          <w:sz w:val="28"/>
          <w:szCs w:val="28"/>
        </w:rPr>
        <w:t xml:space="preserve"> а також обсягів такого бронювання, наявність звітної документації з питань бронювання військовозобов’язаних тощо);</w:t>
      </w:r>
    </w:p>
    <w:p w14:paraId="369BCD21"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стан ведення військового обліку з питань, зазначених у пункті 4 цього додатка.</w:t>
      </w:r>
    </w:p>
    <w:p w14:paraId="12194DD2"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4. Під час перевірки органів військового управління (органів управління), військових частин (підрозділів) Збройних Сил та інших утворених відповідно до законів України військових формувань та правоохоронних органів спеціального призначення, територіальних органів (підрозділів) державних органів, підприємств, установ та організацій, закладів освіти, закладів охорони здоров’я незалежно від підпорядкування і форми власності (далі — підприємства, установи та організації) перевіряється:</w:t>
      </w:r>
    </w:p>
    <w:p w14:paraId="6FCB3B2A"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наявність структурного підрозділу (посадових осіб), на який (яких) покладається функція з ведення військового обліку (перевіряються положення про структурний підрозділ, інструкції посадових осіб, наказ керівника підприємства, установи та організації про призначення посадових осіб, відповідальних за ведення військового обліку, штатний розпис тощо);</w:t>
      </w:r>
    </w:p>
    <w:p w14:paraId="62A9BE34"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стан методологічного та методичного забезпечення заходів військового обліку;</w:t>
      </w:r>
    </w:p>
    <w:p w14:paraId="24F2CC26"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стан забезпечення оповіщення та прибуття призовників, військовозобов’язаних та резервістів до відповідних районних (міських) територіальних центрів комплектування та соціальної підтримки, органів СБУ, підрозділів Служби зовнішньої розвідки;</w:t>
      </w:r>
    </w:p>
    <w:p w14:paraId="118E9FEE"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порядок взяття на персональний військовий облік призовників, військовозобов’язаних та резервістів, прийнятих на роботу (навчання), та в інших випадках, передбачених Порядком</w:t>
      </w:r>
      <w:r>
        <w:t xml:space="preserve"> </w:t>
      </w:r>
      <w:r>
        <w:rPr>
          <w:rFonts w:ascii="Times New Roman" w:hAnsi="Times New Roman"/>
          <w:sz w:val="28"/>
          <w:szCs w:val="28"/>
        </w:rPr>
        <w:t xml:space="preserve">організації та ведення військового обліку; стан дотримання встановлених строків повідомлення районних </w:t>
      </w:r>
      <w:r>
        <w:rPr>
          <w:rFonts w:ascii="Times New Roman" w:hAnsi="Times New Roman"/>
          <w:sz w:val="28"/>
          <w:szCs w:val="28"/>
        </w:rPr>
        <w:lastRenderedPageBreak/>
        <w:t>(міських) територіальних центрів комплектування та соціальної підтримки, органів СБУ, підрозділів Служби зовнішньої розвідки про прийняття на роботу (навчання);</w:t>
      </w:r>
    </w:p>
    <w:p w14:paraId="279A23F0"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порядок виключення з персонального військового обліку призовників, військовозобов’язаних та резервістів, які звільнені з роботи, завершили навчання (відраховані із закладів освіти), та в інших випадках, передбачених Порядком</w:t>
      </w:r>
      <w:r>
        <w:t xml:space="preserve"> </w:t>
      </w:r>
      <w:r>
        <w:rPr>
          <w:rFonts w:ascii="Times New Roman" w:hAnsi="Times New Roman"/>
          <w:sz w:val="28"/>
          <w:szCs w:val="28"/>
        </w:rPr>
        <w:t>організації та ведення військового обліку; стан дотримання встановлених строків повідомлення районних (міських) територіальних центрів комплектування та соціальної підтримки, органів СБУ, підрозділів Служби зовнішньої розвідки про звільнення з роботи (навчання), відрахування із закладів освіти;</w:t>
      </w:r>
    </w:p>
    <w:p w14:paraId="5F6163AF"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наявність та стан ведення журналу обліку результатів перевірки стану військового обліку, звіряння їх облікових даних з даними районних (міських) територіальних центрів комплектування та соціальної підтримки (органів СБУ, підрозділів Служби зовнішньої розвідки);</w:t>
      </w:r>
    </w:p>
    <w:p w14:paraId="363A24F0"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організація, стан обліку і порядок ведення та зберігання документів з питань військового обліку;</w:t>
      </w:r>
    </w:p>
    <w:p w14:paraId="6FA7E865"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наявність та стан ведення списків персонального військового обліку, відомості оперативного обліку призовників, військовозобов’язаних та резервістів; повнота, актуальність і достовірність облікових даних призовників, військовозобов’язаних та резервістів, внесених до зазначених списків; стан дотримання встановлених строків внесення змін до списків персонального військового обліку призовників, військовозобов’язаних та резервістів щодо прізвища, власного імені та по батькові (за наявності), реквізитів паспорта громадянина України та паспорта громадянина України для виїзду за кордон, задекларованого/зареєстрованого місця проживання, місця фактичного проживання, сімейного стану, освіти, місця роботи і посади та повідомлення районних (міських) територіальних центрів комплектування та соціальної підтримки, органів СБУ, підрозділів Служби зовнішньої розвідки про такі зміни;</w:t>
      </w:r>
    </w:p>
    <w:p w14:paraId="178B6966"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організація планування та здійснення звіряння облікових даних списків персонального військового обліку із записами у їх військово-облікових документах, а також з обліковими даними, що містяться у картках первинного обліку виконавчих органів сільських, селищних міських рад (наявність та стан виконання відповідного графіка звіряння);</w:t>
      </w:r>
    </w:p>
    <w:p w14:paraId="5A572786"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стан взаємодії з відповідними районними (міськими) територіальними центрами комплектування та соціальної підтримки, органами СБУ, підрозділами Служби зовнішньої розвідки, у яких призовники, військовозобов’язані та резервісти перебувають на військовому обліку, щодо строків та способів звіряння даних списків персонального військового обліку, внесення відповідних змін до них, а також щодо оповіщення призовників, військовозобов’язаних та резервістів;</w:t>
      </w:r>
    </w:p>
    <w:p w14:paraId="5C9425BB"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lastRenderedPageBreak/>
        <w:t>організація, стан та результати звіряння облікових даних списків персонального військового обліку з обліковими даними відповідних районних (міських) територіальних центрів комплектування та соціальної підтримки, облікових органів СБУ, підрозділів Служби зовнішньої розвідки (наявність та стан виконання відповідного графіка звіряння);</w:t>
      </w:r>
    </w:p>
    <w:p w14:paraId="3A785FE9"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стан доведення до призовників, військовозобов’язаних та резервістів Правил військового обліку під особистий підпис під час прийняття на роботу (навчання);</w:t>
      </w:r>
    </w:p>
    <w:p w14:paraId="3704337B"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 xml:space="preserve">організація здійснення контролю за виконанням призовниками, військовозобов’язаними та резервістами Правил військового обліку та проведення відповідної роз’яснювальної роботи; </w:t>
      </w:r>
    </w:p>
    <w:p w14:paraId="3737B440"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організація та стан бронювання військовозобов’язаних, які працюють на підприємстві, в установі та організації (перевіряється обґрунтованість бронювання військовозобов’язаних, а також обсягів такого бронювання, наявність переліків посад і професій військовозобов’язаних, які підлягають бронюванню, оформлення документів з питань бронювання, порядок зберігання та видачі (анулювання) посвідчень про відстрочку від призову на військову службу під час мобілізації, наявність звітної документації з питань бронювання військовозобов’язаних тощо);</w:t>
      </w:r>
    </w:p>
    <w:p w14:paraId="6F0AC86C" w14:textId="77777777" w:rsidR="001976FA" w:rsidRDefault="001976FA" w:rsidP="001976FA">
      <w:pPr>
        <w:pStyle w:val="a3"/>
        <w:spacing w:line="232" w:lineRule="auto"/>
        <w:jc w:val="both"/>
        <w:rPr>
          <w:rFonts w:ascii="Times New Roman" w:hAnsi="Times New Roman"/>
          <w:sz w:val="28"/>
          <w:szCs w:val="28"/>
        </w:rPr>
      </w:pPr>
      <w:r>
        <w:rPr>
          <w:rFonts w:ascii="Times New Roman" w:hAnsi="Times New Roman"/>
          <w:sz w:val="28"/>
          <w:szCs w:val="28"/>
        </w:rPr>
        <w:t>організація та результати усунення недоліків, виявлених під час проведення попередніх перевірок стану військового обліку.</w:t>
      </w:r>
    </w:p>
    <w:p w14:paraId="0BB7DAE3"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 xml:space="preserve">5. Під час перевірки органів, що здійснюють реєстрацію/зняття з реєстрації місця проживання/перебування фізичних осіб, крім питань, зазначених у пункті 4 цього додатка, перевіряється своєчасність надання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реєстрацію/зняття з реєстрації місця </w:t>
      </w:r>
      <w:r>
        <w:rPr>
          <w:rFonts w:ascii="Times New Roman" w:hAnsi="Times New Roman"/>
          <w:spacing w:val="-4"/>
          <w:sz w:val="28"/>
          <w:szCs w:val="28"/>
        </w:rPr>
        <w:t>проживання/ перебування призовників, військовозобов’язаних та резервістів.</w:t>
      </w:r>
    </w:p>
    <w:p w14:paraId="2754EF7D"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6. Під час перевірки органів держаної реєстрації актів цивільного стану, крім питань, зазначених у пункті 4 цього додатка, перевіряється своєчасність надання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акти цивільного стану щодо призовників, військовозобов’язаних та резервістів.</w:t>
      </w:r>
    </w:p>
    <w:p w14:paraId="00744AA8"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7. Під час перевірки органів досудового розслідування, крім питань, зазначених у пункті 4 цього додатка, перевіряється 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призовників, військовозобов’язаних та резервістів, яким повідомлено про підозру у вчиненні кримінального правопорушення.</w:t>
      </w:r>
    </w:p>
    <w:p w14:paraId="0860C402"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8. Під час перевірки судів, крім питань, зазначених у пункті 4 цього додатка, перевіряється:</w:t>
      </w:r>
    </w:p>
    <w:p w14:paraId="034C4451"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lastRenderedPageBreak/>
        <w:t xml:space="preserve">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призовників, кримінальні справи щодо яких розглядаються судом, а також про </w:t>
      </w:r>
      <w:proofErr w:type="spellStart"/>
      <w:r>
        <w:rPr>
          <w:rFonts w:ascii="Times New Roman" w:hAnsi="Times New Roman"/>
          <w:sz w:val="28"/>
          <w:szCs w:val="28"/>
        </w:rPr>
        <w:t>вироки</w:t>
      </w:r>
      <w:proofErr w:type="spellEnd"/>
      <w:r>
        <w:rPr>
          <w:rFonts w:ascii="Times New Roman" w:hAnsi="Times New Roman"/>
          <w:sz w:val="28"/>
          <w:szCs w:val="28"/>
        </w:rPr>
        <w:t xml:space="preserve"> щодо призовників, військовозобов’язаних та резервістів, що набрали законної сили;</w:t>
      </w:r>
    </w:p>
    <w:p w14:paraId="1FE59043"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організація вилучення та своєчасність надсилання до відповідних районних (міських) територіальних центрів комплектування та соціальної підтримки, органів СБУ, підрозділів Служби зовнішньої розвідки військово-облікових документів призовників, військовозобов’язаних та резервістів, засуджених до позбавлення волі, обмеження волі або арешту.</w:t>
      </w:r>
    </w:p>
    <w:p w14:paraId="44DC1858"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9. Під час перевірки медико-соціальних експертних комісій, крім питань, зазначених у пункті 4 цього додатка, перевіряється 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призовників, військовозобов’язаних та резервістів, яких визнано особами з інвалідністю.</w:t>
      </w:r>
    </w:p>
    <w:p w14:paraId="4A9ED16E"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10. Під час перевірки закладів охорони здоров’я, крім питань, зазначених у пункті 4 цього додатка, перевіряється своєчасність подання повідомлень до відповідних районних (міських) територіальних центрів комплектування та соціальної підтримки про громадян призовного віку, які перебувають на стаціонарному лікуванні.</w:t>
      </w:r>
    </w:p>
    <w:p w14:paraId="49D548DE"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11. Під час перевірки органів Національної поліції, крім питань, зазначених у пункті 4 цього додатка, перевіряється:</w:t>
      </w:r>
    </w:p>
    <w:p w14:paraId="165959AC"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 xml:space="preserve">правильність зберігання військово-облікових документів призовників, військовозобов’язаних та резервістів, прийнятих на службу; </w:t>
      </w:r>
    </w:p>
    <w:p w14:paraId="7CD1D9F9"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стан реагування на повідомлення про кримінальне правопорушення районних (міських) територіальних центрів комплектування та соціальної підтримки (органів СБУ, підрозділів Служби зовнішньої розвідки)  стосовно осіб, які вчинили кримінальні правопорушення, передбачені статтями 335, 336, 337 Кримінального кодексу України, та роботи з питань адміністративного затримання та доставлення призовників, військовозобов’язаних та резервістів, які вчинили адміністративні правопорушення, передбачені статтями 210, 210</w:t>
      </w:r>
      <w:r>
        <w:rPr>
          <w:rFonts w:ascii="Times New Roman" w:hAnsi="Times New Roman"/>
          <w:sz w:val="28"/>
          <w:szCs w:val="28"/>
          <w:vertAlign w:val="superscript"/>
        </w:rPr>
        <w:t>1</w:t>
      </w:r>
      <w:r>
        <w:rPr>
          <w:rFonts w:ascii="Times New Roman" w:hAnsi="Times New Roman"/>
          <w:sz w:val="28"/>
          <w:szCs w:val="28"/>
        </w:rPr>
        <w:t xml:space="preserve"> Кодексу України про адміністративні правопорушення.</w:t>
      </w:r>
    </w:p>
    <w:p w14:paraId="19A41208"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 xml:space="preserve">12. Під час перевірки закладів освіти, крім питань, зазначених у </w:t>
      </w:r>
      <w:r>
        <w:rPr>
          <w:rFonts w:ascii="Times New Roman" w:hAnsi="Times New Roman"/>
          <w:sz w:val="28"/>
          <w:szCs w:val="28"/>
        </w:rPr>
        <w:br/>
        <w:t>пункті 4 цього додатка, перевіряється:</w:t>
      </w:r>
    </w:p>
    <w:p w14:paraId="46547806"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своєчасність подання повідомлень до відповідних районних (міських) територіальних центрів комплектування та соціальної підтримки про жінок, які здобувають освіту за медичною або фармацевтичною  спеціальністю, а також зміну форми здобуття освіти;</w:t>
      </w:r>
    </w:p>
    <w:p w14:paraId="318D6415"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lastRenderedPageBreak/>
        <w:t xml:space="preserve">зарахування (відрахування) із закладу освіти призовників, військовозобов’язаних та резервістів; </w:t>
      </w:r>
    </w:p>
    <w:p w14:paraId="184554AB"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своєчасна видача під особистий підпис призовників, що навчаються в закладі освіти, оформлених належним чином довідок, що підтверджують право на відстрочку від призову на строкову військову службу.</w:t>
      </w:r>
    </w:p>
    <w:p w14:paraId="36CDF232"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13. Під час перевірки органів військового управління (органів управління), військових частин (підрозділів) інших утворених відповідно до законів України військових формувань та правоохоронних органів спеціального призначення, крім питань, зазначених у пункті 4 цього додатка, перевіряється:</w:t>
      </w:r>
    </w:p>
    <w:p w14:paraId="15D14C59"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витягів з наказів про прийняття на військову службу призовників, військовозобов’язаних та резервістів;</w:t>
      </w:r>
    </w:p>
    <w:p w14:paraId="196AA031"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правильність зберігання військово-облікових документів призовників, військовозобов’язаних та резервістів, прийнятих на військову службу.</w:t>
      </w:r>
    </w:p>
    <w:p w14:paraId="2A903192"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14. Під час перевірки закордонних дипломатичних установ України, крім питань, зазначених у пункті 4 цього додатка, перевіряється ведення військового обліку призовників, військовозобов’язаних та резервістів, які перебувають на тимчасовому консульському обліку, своєчасність подання повідомлень до відповідних районних (міських) територіальних центрів комплектування та соціальної підтримки,</w:t>
      </w:r>
      <w:r>
        <w:t xml:space="preserve"> </w:t>
      </w:r>
      <w:r>
        <w:rPr>
          <w:rFonts w:ascii="Times New Roman" w:hAnsi="Times New Roman"/>
          <w:sz w:val="28"/>
          <w:szCs w:val="28"/>
        </w:rPr>
        <w:t>органів СБУ, підрозділів Служби зовнішньої розвідки про взяття на консульський облік або зняття з нього призовників, військовозобов’язаних та резервістів.</w:t>
      </w:r>
    </w:p>
    <w:p w14:paraId="78CA8999"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15. Під час перевірки територіальних підрозділів ДМС, крім питань, зазначених у пункті 4 цього додатка, перевіряється своєчасність подання повідомлень до відповідних районних (міських) територіальних центрів комплектування та соціальної підтримки про осіб віком від 16 до 60 років, які набули громадянство України і підлягають взяттю на військовий облік.</w:t>
      </w:r>
    </w:p>
    <w:p w14:paraId="0D0DB170"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16. Під час перевірки органів Державного бюро розслідувань, БЕБ, органів і підрозділів служби цивільного захисту, Державної кримінально-виконавчої служби, Служби судової охорони, крім питань, зазначених у пункті 4 цього додатка, перевіряється:</w:t>
      </w:r>
    </w:p>
    <w:p w14:paraId="615CDD18"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витягів з наказів про прийняття на військову службу призовників, військовозобов’язаних та резервістів;</w:t>
      </w:r>
    </w:p>
    <w:p w14:paraId="429ABF87"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правильність зберігання військово-облікових документів призовників, військовозобов’язаних та резервістів, прийнятих на службу.</w:t>
      </w:r>
    </w:p>
    <w:p w14:paraId="45B287C4"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 xml:space="preserve">17. У разі проведення документальної перевірки стану організації та ведення військового обліку (у зв’язку з фізичною неможливістю проведення </w:t>
      </w:r>
      <w:r>
        <w:rPr>
          <w:rFonts w:ascii="Times New Roman" w:hAnsi="Times New Roman"/>
          <w:sz w:val="28"/>
          <w:szCs w:val="28"/>
        </w:rPr>
        <w:lastRenderedPageBreak/>
        <w:t>планової перевірки) до визначених об’єктів перевірки надсилається запит щодо подання до відповідних державних органів, підприємств, установ і організацій:</w:t>
      </w:r>
    </w:p>
    <w:p w14:paraId="6D0F4F5B"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положення про підрозділ, функціональні обов’язки (інструкції) посадових осіб об’єкта перевірки, які визначені відповідальними за організацію та ведення військового обліку, а також організацію бронювання військовозобов’язаних на період мобілізації та на воєнний час, положення про структурні підрозділи державних органів, органів місцевого самоврядування, що забезпечують функціонування системи військового обліку у відповідній сфері управління (галузі економіки);</w:t>
      </w:r>
    </w:p>
    <w:p w14:paraId="7F643823"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копії наказу про призначення посадових осіб, відповідальних за ведення військового обліку;</w:t>
      </w:r>
    </w:p>
    <w:p w14:paraId="42CA8E13"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списків призовників, військовозобов’язаних та резервістів, які перебувають на персонально-первинному військового обліку;</w:t>
      </w:r>
    </w:p>
    <w:p w14:paraId="6FB95660"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списків персонального військового обліку;</w:t>
      </w:r>
    </w:p>
    <w:p w14:paraId="34339B29"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списків військовозобов’язаних та резервістів, яким видано мобілізаційні розпорядження;</w:t>
      </w:r>
    </w:p>
    <w:p w14:paraId="3AD43828"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списків військовозобов’язаних, які заброньовані на період мобілізації та на воєнний час;</w:t>
      </w:r>
    </w:p>
    <w:p w14:paraId="7A7B1C36"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відомості оперативного обліку призовників, військовозобов’язаних та резервістів;</w:t>
      </w:r>
    </w:p>
    <w:p w14:paraId="5FF640F8" w14:textId="77777777" w:rsidR="001976FA" w:rsidRDefault="001976FA" w:rsidP="001976FA">
      <w:pPr>
        <w:pStyle w:val="a3"/>
        <w:jc w:val="both"/>
        <w:rPr>
          <w:rFonts w:ascii="Times New Roman" w:hAnsi="Times New Roman"/>
          <w:sz w:val="28"/>
          <w:szCs w:val="28"/>
        </w:rPr>
      </w:pPr>
      <w:r>
        <w:rPr>
          <w:rFonts w:ascii="Times New Roman" w:hAnsi="Times New Roman"/>
          <w:sz w:val="28"/>
          <w:szCs w:val="28"/>
        </w:rPr>
        <w:t>інших документів з питань військового обліку.</w:t>
      </w:r>
    </w:p>
    <w:p w14:paraId="28E8BF75" w14:textId="77777777" w:rsidR="001850DD" w:rsidRDefault="001850DD"/>
    <w:sectPr w:rsidR="001850DD" w:rsidSect="00D20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FA"/>
    <w:rsid w:val="001850DD"/>
    <w:rsid w:val="001976FA"/>
    <w:rsid w:val="00D20C1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7486"/>
  <w15:chartTrackingRefBased/>
  <w15:docId w15:val="{70E0B11D-7CAE-4882-8682-A886EBCC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976FA"/>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1976FA"/>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1976FA"/>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12340</Words>
  <Characters>7034</Characters>
  <Application>Microsoft Office Word</Application>
  <DocSecurity>0</DocSecurity>
  <Lines>58</Lines>
  <Paragraphs>38</Paragraphs>
  <ScaleCrop>false</ScaleCrop>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2023-01-02T18:12:00Z</dcterms:created>
  <dcterms:modified xsi:type="dcterms:W3CDTF">2023-01-02T18:12:00Z</dcterms:modified>
</cp:coreProperties>
</file>