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08DD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ПОСАДОВА ІНСТРУКЦІЯ</w:t>
      </w:r>
      <w:r>
        <w:rPr>
          <w:b/>
          <w:bCs/>
        </w:rPr>
        <w:br/>
      </w:r>
      <w:r>
        <w:rPr>
          <w:rStyle w:val="a4"/>
        </w:rPr>
        <w:t>інженера з технічного аудиту</w:t>
      </w:r>
      <w:r>
        <w:rPr>
          <w:b/>
          <w:bCs/>
        </w:rPr>
        <w:br/>
      </w:r>
      <w:r>
        <w:rPr>
          <w:rStyle w:val="a4"/>
        </w:rPr>
        <w:t>(код КП — 2143.2)</w:t>
      </w:r>
    </w:p>
    <w:p w14:paraId="2FBDD7E2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1. Загальні положення</w:t>
      </w:r>
    </w:p>
    <w:p w14:paraId="210FCB86" w14:textId="77777777" w:rsidR="00891102" w:rsidRDefault="00891102" w:rsidP="00891102">
      <w:pPr>
        <w:pStyle w:val="a3"/>
        <w:spacing w:after="225" w:afterAutospacing="0"/>
        <w:jc w:val="both"/>
      </w:pPr>
      <w:r>
        <w:t>1.1. Ця посадова інструкція визначає функціональні обов'язки, права та відповідальність інженера з технічного аудиту.</w:t>
      </w:r>
    </w:p>
    <w:p w14:paraId="75FFA606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1.2. Посада інженера з технічного аудиту належить до розділу «Професіонали» Національного класифікатора України «Класифікатор професій ДК003:2010». </w:t>
      </w:r>
    </w:p>
    <w:p w14:paraId="6B9125EB" w14:textId="77777777" w:rsidR="00891102" w:rsidRDefault="00891102" w:rsidP="00891102">
      <w:pPr>
        <w:pStyle w:val="a3"/>
        <w:spacing w:after="225" w:afterAutospacing="0"/>
        <w:jc w:val="both"/>
      </w:pPr>
      <w:r>
        <w:t>1.3. Інженер з технічного аудиту призначається на посаду та звільняється з посади наказом директора підприємства.</w:t>
      </w:r>
    </w:p>
    <w:p w14:paraId="3A689E62" w14:textId="77777777" w:rsidR="00891102" w:rsidRDefault="00891102" w:rsidP="00891102">
      <w:pPr>
        <w:pStyle w:val="a3"/>
        <w:spacing w:after="225" w:afterAutospacing="0"/>
        <w:jc w:val="both"/>
      </w:pPr>
      <w:r>
        <w:t>1.4. Інженер з технічного аудиту безпосередньо підпорядковується начальнику відділу електрифікації .</w:t>
      </w:r>
    </w:p>
    <w:p w14:paraId="5A90F2BC" w14:textId="77777777" w:rsidR="00891102" w:rsidRDefault="00891102" w:rsidP="00891102">
      <w:pPr>
        <w:pStyle w:val="a3"/>
        <w:spacing w:after="225" w:afterAutospacing="0"/>
        <w:jc w:val="both"/>
      </w:pPr>
      <w:r>
        <w:t>1.5. У службовій діяльності інженер з технічного аудиту керується нормативно-правовими актами України, трудовим законодавством, локальними актами організації (статутом, правилами внутрішнього трудового розпорядку, колективним договором та ін.), цією посадовою інструкцією, Статутом підприємства, організаційно-розпорядчими документами підприємства з відповідних питань.</w:t>
      </w:r>
    </w:p>
    <w:p w14:paraId="05BD0E09" w14:textId="77777777" w:rsidR="00891102" w:rsidRDefault="00891102" w:rsidP="00891102">
      <w:pPr>
        <w:pStyle w:val="a3"/>
        <w:spacing w:after="225" w:afterAutospacing="0"/>
        <w:jc w:val="both"/>
      </w:pPr>
      <w:r>
        <w:t>1.6. За відсутності інженера з технічного аудиту його обов'язки виконує особа, призначена у встановленому порядку, яка набуває відповідних прав та несе відповідальність за належне виконання покладених на неї обов'язків.</w:t>
      </w:r>
    </w:p>
    <w:p w14:paraId="40D02CC9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2. Завдання та обов'язки</w:t>
      </w:r>
    </w:p>
    <w:p w14:paraId="0D52F9BB" w14:textId="77777777" w:rsidR="00891102" w:rsidRDefault="00891102" w:rsidP="00891102">
      <w:pPr>
        <w:pStyle w:val="a3"/>
        <w:spacing w:after="225" w:afterAutospacing="0"/>
        <w:jc w:val="both"/>
      </w:pPr>
      <w:r>
        <w:t>Інженер з технічного аудиту:</w:t>
      </w:r>
    </w:p>
    <w:p w14:paraId="43434530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2.1.  Веде облік фактичного споживання енергії та потужності в розрізі основних груп споживачів та складає розрахункові баланси споживання цієї енергії за групами споживачів. </w:t>
      </w:r>
    </w:p>
    <w:p w14:paraId="06C21C81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2.2.  Проводить обстеження споживачів для встановлення їм розміру аварійної та технологічної броні. </w:t>
      </w:r>
    </w:p>
    <w:p w14:paraId="5FCC4113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2.3.  Погоджує технічні умови та проекти </w:t>
      </w:r>
      <w:proofErr w:type="spellStart"/>
      <w:r>
        <w:t>електро</w:t>
      </w:r>
      <w:proofErr w:type="spellEnd"/>
      <w:r>
        <w:t xml:space="preserve">- і теплопостачання нових та реконструйованих установок споживачів. </w:t>
      </w:r>
    </w:p>
    <w:p w14:paraId="39E9694B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2.4.  Видає споживачам дозволи на застосування електричної енергії в електротермічних процесах потужністю устаткування до 1000 кВт. веде облік та контролює додержання споживачами вимог щодо приєднання до електричних мереж автономних джерел електроживлення, які використовуються споживачами. </w:t>
      </w:r>
    </w:p>
    <w:p w14:paraId="4A793198" w14:textId="77777777" w:rsidR="00891102" w:rsidRDefault="00891102" w:rsidP="00891102">
      <w:pPr>
        <w:pStyle w:val="a3"/>
        <w:spacing w:after="225" w:afterAutospacing="0"/>
        <w:jc w:val="both"/>
      </w:pPr>
      <w:r>
        <w:lastRenderedPageBreak/>
        <w:t xml:space="preserve">2.5.  Контролює: відсутність у споживачів </w:t>
      </w:r>
      <w:proofErr w:type="spellStart"/>
      <w:r>
        <w:t>безоблікового</w:t>
      </w:r>
      <w:proofErr w:type="spellEnd"/>
      <w:r>
        <w:t xml:space="preserve">, самовільного приєднання енергоустановок до мереж енергопостачальної організації. дотримання та виконання споживачами вимог Правил користування електричною енергією (ПКЕЕ), а також інших нормативних документів, що регламентують питання енергопостачання і його надійності та обслуговування договору на постачання електричної та теплової енергії і договірних зобов’язань з режимів енергоспоживання, обліку відпуску і споживання енергії. </w:t>
      </w:r>
    </w:p>
    <w:p w14:paraId="26707BC6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2.6.  Виявляє факти </w:t>
      </w:r>
      <w:proofErr w:type="spellStart"/>
      <w:r>
        <w:t>безоблікового</w:t>
      </w:r>
      <w:proofErr w:type="spellEnd"/>
      <w:r>
        <w:t xml:space="preserve"> споживання енергоресурсів, порушення обліку споживання енергії, порушень договірних зобов’язань з компенсації реакційної потужності, граничних величин: споживання електричної енергії та потужності, витоків теплоносія, температури зворотної мережної води і конденсату, якісних параметрів електричної енергії і теплоносія, що відпускаються споживачам. </w:t>
      </w:r>
    </w:p>
    <w:p w14:paraId="44490F74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2.7.  Виявляє причини небалансів відпуску і споживання енергії, підвищених комерційних втрат енергії, складає акти з приводу виявлених порушень. </w:t>
      </w:r>
    </w:p>
    <w:p w14:paraId="41E2BBA5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2.8.  Проводить роботу у комісіях з розслідування порушень, пов’язаних з позаплановими перервами енергопостачання споживачів. </w:t>
      </w:r>
    </w:p>
    <w:p w14:paraId="32456F00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2.9.  Веде підготовку додатків технічної частини договорів енергопостачання. </w:t>
      </w:r>
    </w:p>
    <w:p w14:paraId="2CC02679" w14:textId="77777777" w:rsidR="00891102" w:rsidRDefault="00891102" w:rsidP="00891102">
      <w:pPr>
        <w:pStyle w:val="a3"/>
        <w:spacing w:after="225" w:afterAutospacing="0"/>
        <w:jc w:val="both"/>
      </w:pPr>
      <w:r>
        <w:t xml:space="preserve">2.10.  Надає допомогу споживачам в організації обліку споживання енергоресурсів, регулюванні графіків енергоспоживання, компенсації реактивної потужності, зниження втрат теплоносія у теплових мережах споживачів. </w:t>
      </w:r>
    </w:p>
    <w:p w14:paraId="6290B0C5" w14:textId="77777777" w:rsidR="00891102" w:rsidRDefault="00891102" w:rsidP="00891102">
      <w:pPr>
        <w:pStyle w:val="a3"/>
        <w:spacing w:after="225" w:afterAutospacing="0"/>
        <w:jc w:val="both"/>
      </w:pPr>
      <w:r>
        <w:t>2.11.  Бере участь у разі потреби у проведенні експертизи електротехнічної та теплотехнічної частин проектів будівництва й реконструкції об’єктів споживачів на відповідність вимогам нормативних документів.</w:t>
      </w:r>
    </w:p>
    <w:p w14:paraId="63DA53F9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3. Права</w:t>
      </w:r>
    </w:p>
    <w:p w14:paraId="49D47290" w14:textId="77777777" w:rsidR="00891102" w:rsidRDefault="00891102" w:rsidP="00891102">
      <w:pPr>
        <w:pStyle w:val="a3"/>
        <w:spacing w:after="225" w:afterAutospacing="0"/>
        <w:jc w:val="both"/>
      </w:pPr>
      <w:r>
        <w:t>Інженер з технічного аудиту має право:</w:t>
      </w:r>
    </w:p>
    <w:p w14:paraId="763BE8DC" w14:textId="77777777" w:rsidR="00891102" w:rsidRDefault="00891102" w:rsidP="00891102">
      <w:pPr>
        <w:pStyle w:val="a3"/>
        <w:spacing w:after="225" w:afterAutospacing="0"/>
        <w:jc w:val="both"/>
      </w:pPr>
      <w:r>
        <w:t>3.1. Вимагати від директора підприємства (інших керівників) сприяння у виконанні обов'язків, передбачених цією посадовою інструкцією.</w:t>
      </w:r>
    </w:p>
    <w:p w14:paraId="736124FF" w14:textId="77777777" w:rsidR="00891102" w:rsidRDefault="00891102" w:rsidP="00891102">
      <w:pPr>
        <w:pStyle w:val="a3"/>
        <w:spacing w:after="225" w:afterAutospacing="0"/>
        <w:jc w:val="both"/>
      </w:pPr>
      <w:r>
        <w:t>3.2. В межах своєї компетенції підписувати та візувати документи.</w:t>
      </w:r>
    </w:p>
    <w:p w14:paraId="70D54C2F" w14:textId="77777777" w:rsidR="00891102" w:rsidRDefault="00891102" w:rsidP="00891102">
      <w:pPr>
        <w:pStyle w:val="a3"/>
        <w:spacing w:after="225" w:afterAutospacing="0"/>
        <w:jc w:val="both"/>
      </w:pPr>
      <w:r>
        <w:t>3.3. Ознайомлюватися з проектами рішень керівництва підприємства, що стосуються його діяльності.</w:t>
      </w:r>
    </w:p>
    <w:p w14:paraId="41D8A986" w14:textId="77777777" w:rsidR="00891102" w:rsidRDefault="00891102" w:rsidP="00891102">
      <w:pPr>
        <w:pStyle w:val="a3"/>
        <w:spacing w:after="225" w:afterAutospacing="0"/>
        <w:jc w:val="both"/>
      </w:pPr>
      <w:r>
        <w:t>3.4. Вносити на розгляд керівництва підприємства пропозиції щодо покращення роботи, пов'язаної з обов'язками, що передбачені цією інструкцією.</w:t>
      </w:r>
    </w:p>
    <w:p w14:paraId="2FEC5CA9" w14:textId="77777777" w:rsidR="00891102" w:rsidRDefault="00891102" w:rsidP="00891102">
      <w:pPr>
        <w:pStyle w:val="a3"/>
        <w:spacing w:after="225" w:afterAutospacing="0"/>
        <w:jc w:val="both"/>
      </w:pPr>
      <w:r>
        <w:t>3.5. Удосконалювати свою професійну кваліфікацію у встановленому порядку.</w:t>
      </w:r>
    </w:p>
    <w:p w14:paraId="19AB9737" w14:textId="77777777" w:rsidR="00891102" w:rsidRDefault="00891102" w:rsidP="00891102">
      <w:pPr>
        <w:pStyle w:val="a3"/>
        <w:spacing w:after="225" w:afterAutospacing="0"/>
        <w:jc w:val="both"/>
      </w:pPr>
    </w:p>
    <w:p w14:paraId="66D4C7F5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lastRenderedPageBreak/>
        <w:t>4. Відповідальність</w:t>
      </w:r>
    </w:p>
    <w:p w14:paraId="0C07FDF0" w14:textId="77777777" w:rsidR="00891102" w:rsidRDefault="00891102" w:rsidP="00891102">
      <w:pPr>
        <w:pStyle w:val="a3"/>
        <w:spacing w:after="225" w:afterAutospacing="0"/>
        <w:jc w:val="both"/>
      </w:pPr>
      <w:r>
        <w:t>Інженер з технічного аудиту несе відповідальність:</w:t>
      </w:r>
    </w:p>
    <w:p w14:paraId="29A5A44D" w14:textId="77777777" w:rsidR="00891102" w:rsidRDefault="00891102" w:rsidP="00891102">
      <w:pPr>
        <w:pStyle w:val="a3"/>
        <w:spacing w:after="225" w:afterAutospacing="0"/>
        <w:jc w:val="both"/>
      </w:pPr>
      <w:r>
        <w:t>4.1. За неналежне виконання або невиконання своїх посадових обов'язків, що передбачені цією посадовою інструкцією, — в межах, визначених чинним законодавством України про працю.</w:t>
      </w:r>
    </w:p>
    <w:p w14:paraId="529CD5B8" w14:textId="77777777" w:rsidR="00891102" w:rsidRDefault="00891102" w:rsidP="00891102">
      <w:pPr>
        <w:pStyle w:val="a3"/>
        <w:spacing w:after="225" w:afterAutospacing="0"/>
        <w:jc w:val="both"/>
      </w:pPr>
      <w:r>
        <w:t>4.2. За правопорушення, скоєні в процесі здійснення своєї діяльності, — в межах, визначених чинним адміністративним, кримінальним та цивільним законодавством України.</w:t>
      </w:r>
    </w:p>
    <w:p w14:paraId="65BFD313" w14:textId="77777777" w:rsidR="00891102" w:rsidRDefault="00891102" w:rsidP="00891102">
      <w:pPr>
        <w:pStyle w:val="a3"/>
        <w:spacing w:after="225" w:afterAutospacing="0"/>
        <w:jc w:val="both"/>
      </w:pPr>
      <w:r>
        <w:t>4.3. За завдання матеріальної шкоди — в межах, визначених чинним цивільним законодавством та законодавством про працю України.</w:t>
      </w:r>
    </w:p>
    <w:p w14:paraId="0B117AF0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5. Повинен знати</w:t>
      </w:r>
    </w:p>
    <w:p w14:paraId="38A60668" w14:textId="77777777" w:rsidR="00891102" w:rsidRDefault="00891102" w:rsidP="00891102">
      <w:pPr>
        <w:pStyle w:val="a3"/>
        <w:spacing w:after="225" w:afterAutospacing="0"/>
        <w:jc w:val="both"/>
      </w:pPr>
      <w:r>
        <w:t>Інженер з технічного аудиту повинен знати:</w:t>
      </w:r>
    </w:p>
    <w:p w14:paraId="5450869E" w14:textId="77777777" w:rsidR="00891102" w:rsidRDefault="00891102" w:rsidP="00891102">
      <w:pPr>
        <w:pStyle w:val="a3"/>
      </w:pPr>
      <w:r>
        <w:t xml:space="preserve">5.1. Статут енергопостачальної організації. </w:t>
      </w:r>
    </w:p>
    <w:p w14:paraId="30493623" w14:textId="77777777" w:rsidR="00891102" w:rsidRDefault="00891102" w:rsidP="00891102">
      <w:pPr>
        <w:pStyle w:val="a3"/>
      </w:pPr>
      <w:r>
        <w:t xml:space="preserve">5.2. Умови та правила здійснення ліцензійної діяльності з постачання та передачі електричної і теплової енергії. </w:t>
      </w:r>
    </w:p>
    <w:p w14:paraId="03AEB549" w14:textId="77777777" w:rsidR="00891102" w:rsidRDefault="00891102" w:rsidP="00891102">
      <w:pPr>
        <w:pStyle w:val="a3"/>
      </w:pPr>
      <w:r>
        <w:t xml:space="preserve">5.3. Постанови, розпорядження, накази органів вищого рівня, що стосуються енергетичної галузі. </w:t>
      </w:r>
    </w:p>
    <w:p w14:paraId="606D5974" w14:textId="77777777" w:rsidR="00891102" w:rsidRDefault="00891102" w:rsidP="00891102">
      <w:pPr>
        <w:pStyle w:val="a3"/>
      </w:pPr>
      <w:r>
        <w:t xml:space="preserve">5.4. Правила технічної експлуатації </w:t>
      </w:r>
      <w:proofErr w:type="spellStart"/>
      <w:r>
        <w:t>тепловикористовуючих</w:t>
      </w:r>
      <w:proofErr w:type="spellEnd"/>
      <w:r>
        <w:t xml:space="preserve"> установок і теплових мереж. </w:t>
      </w:r>
    </w:p>
    <w:p w14:paraId="5E0DB039" w14:textId="77777777" w:rsidR="00891102" w:rsidRDefault="00891102" w:rsidP="00891102">
      <w:pPr>
        <w:pStyle w:val="a3"/>
      </w:pPr>
      <w:r>
        <w:t xml:space="preserve">5.5. Правила технічної експлуатації електроустановок споживачів. </w:t>
      </w:r>
    </w:p>
    <w:p w14:paraId="4E2E68ED" w14:textId="77777777" w:rsidR="00891102" w:rsidRDefault="00891102" w:rsidP="00891102">
      <w:pPr>
        <w:pStyle w:val="a3"/>
      </w:pPr>
      <w:r>
        <w:t xml:space="preserve">5.6. Правила користування електричною і тепловою енергією. </w:t>
      </w:r>
    </w:p>
    <w:p w14:paraId="657C2D5A" w14:textId="77777777" w:rsidR="00891102" w:rsidRDefault="00891102" w:rsidP="00891102">
      <w:pPr>
        <w:pStyle w:val="a3"/>
      </w:pPr>
      <w:r>
        <w:t xml:space="preserve">5.7. Правила влаштування електроустановок. </w:t>
      </w:r>
    </w:p>
    <w:p w14:paraId="67E4CD0E" w14:textId="77777777" w:rsidR="00891102" w:rsidRDefault="00891102" w:rsidP="00891102">
      <w:pPr>
        <w:pStyle w:val="a3"/>
      </w:pPr>
      <w:r>
        <w:t xml:space="preserve">5.8. Загальні принципи </w:t>
      </w:r>
      <w:proofErr w:type="spellStart"/>
      <w:r>
        <w:t>тарифоутворення</w:t>
      </w:r>
      <w:proofErr w:type="spellEnd"/>
      <w:r>
        <w:t xml:space="preserve">. </w:t>
      </w:r>
    </w:p>
    <w:p w14:paraId="4F9B797D" w14:textId="77777777" w:rsidR="00891102" w:rsidRDefault="00891102" w:rsidP="00891102">
      <w:pPr>
        <w:pStyle w:val="a3"/>
      </w:pPr>
      <w:r>
        <w:t xml:space="preserve">5.9. Вимоги до обліку електричної і теплової енергії. </w:t>
      </w:r>
    </w:p>
    <w:p w14:paraId="1A907D5D" w14:textId="77777777" w:rsidR="00891102" w:rsidRDefault="00891102" w:rsidP="00891102">
      <w:pPr>
        <w:pStyle w:val="a3"/>
      </w:pPr>
      <w:r>
        <w:t>5.10. Правила та норми з охорони праці, виробничої санітарії та протипожежного захисту.</w:t>
      </w:r>
    </w:p>
    <w:p w14:paraId="3426212B" w14:textId="77777777" w:rsidR="00891102" w:rsidRDefault="00891102" w:rsidP="00891102">
      <w:pPr>
        <w:pStyle w:val="a3"/>
        <w:spacing w:after="225" w:afterAutospacing="0"/>
        <w:jc w:val="center"/>
      </w:pPr>
      <w:r>
        <w:rPr>
          <w:rStyle w:val="a4"/>
        </w:rPr>
        <w:t>6. Кваліфікаційні вимоги</w:t>
      </w:r>
    </w:p>
    <w:p w14:paraId="35D333EE" w14:textId="77777777" w:rsidR="00891102" w:rsidRDefault="00891102" w:rsidP="00891102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rStyle w:val="a4"/>
          <w:color w:val="222222"/>
        </w:rPr>
        <w:t>Провідний інженер з технічного аудиту:</w:t>
      </w:r>
      <w:r>
        <w:rPr>
          <w:color w:val="222222"/>
        </w:rPr>
        <w:t> повна вища технічна освіта відповідного напряму підготовки (магістр, спеціаліст). Стаж роботи за професією інженера з технічного аудиту I категорії — не менше 2 років.</w:t>
      </w:r>
    </w:p>
    <w:p w14:paraId="027C0BFA" w14:textId="77777777" w:rsidR="00891102" w:rsidRDefault="00891102" w:rsidP="00891102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rStyle w:val="a4"/>
          <w:color w:val="222222"/>
        </w:rPr>
        <w:lastRenderedPageBreak/>
        <w:t>Інженер з технічного аудиту I категорії:</w:t>
      </w:r>
      <w:r>
        <w:rPr>
          <w:color w:val="222222"/>
        </w:rPr>
        <w:t> повна вища технічна освіта відповідного напряму підготовки (магістр, спеціаліст). Стаж роботи за професією інженера з технічного аудиту II категорії: для магістра — не менше 1 року, спеціаліста — не менше 2 років.</w:t>
      </w:r>
    </w:p>
    <w:p w14:paraId="6BE4397A" w14:textId="77777777" w:rsidR="00891102" w:rsidRDefault="00891102" w:rsidP="00891102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rStyle w:val="a4"/>
          <w:color w:val="222222"/>
        </w:rPr>
        <w:t>Інженер з технічного аудиту II категорії:</w:t>
      </w:r>
      <w:r>
        <w:rPr>
          <w:color w:val="222222"/>
        </w:rPr>
        <w:t> повна вища технічна освіта відповідного напряму підготовки (спеціаліст). Стаж роботи за професією інженера з технічного аудиту — не менше 1 року.</w:t>
      </w:r>
    </w:p>
    <w:p w14:paraId="2D7DFE5A" w14:textId="77777777" w:rsidR="00891102" w:rsidRDefault="00891102" w:rsidP="00891102">
      <w:pPr>
        <w:pStyle w:val="a3"/>
        <w:shd w:val="clear" w:color="auto" w:fill="FFFFFF"/>
        <w:spacing w:after="0" w:afterAutospacing="0"/>
        <w:rPr>
          <w:color w:val="222222"/>
        </w:rPr>
      </w:pPr>
      <w:r>
        <w:rPr>
          <w:rStyle w:val="a4"/>
          <w:color w:val="222222"/>
        </w:rPr>
        <w:t>Інженер з технічного аудиту:</w:t>
      </w:r>
      <w:r>
        <w:rPr>
          <w:color w:val="222222"/>
        </w:rPr>
        <w:t> повна вища технічна освіта відповідного напряму підготовки (спеціаліст) без вимог до стажу роботи.</w:t>
      </w:r>
    </w:p>
    <w:p w14:paraId="189BCA4F" w14:textId="6F3B4CDF" w:rsidR="001B67C8" w:rsidRPr="00891102" w:rsidRDefault="001B67C8" w:rsidP="00891102"/>
    <w:sectPr w:rsidR="001B67C8" w:rsidRPr="00891102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FF23" w14:textId="77777777" w:rsidR="006114AE" w:rsidRDefault="006114AE" w:rsidP="00C55407">
      <w:r>
        <w:separator/>
      </w:r>
    </w:p>
  </w:endnote>
  <w:endnote w:type="continuationSeparator" w:id="0">
    <w:p w14:paraId="5A7DA2A4" w14:textId="77777777" w:rsidR="006114AE" w:rsidRDefault="006114AE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95ED" w14:textId="77777777" w:rsidR="006114AE" w:rsidRDefault="006114AE" w:rsidP="00C55407">
      <w:r>
        <w:separator/>
      </w:r>
    </w:p>
  </w:footnote>
  <w:footnote w:type="continuationSeparator" w:id="0">
    <w:p w14:paraId="5A0FB209" w14:textId="77777777" w:rsidR="006114AE" w:rsidRDefault="006114AE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7"/>
  </w:num>
  <w:num w:numId="2" w16cid:durableId="2038772221">
    <w:abstractNumId w:val="5"/>
  </w:num>
  <w:num w:numId="3" w16cid:durableId="591858738">
    <w:abstractNumId w:val="2"/>
  </w:num>
  <w:num w:numId="4" w16cid:durableId="991905100">
    <w:abstractNumId w:val="9"/>
  </w:num>
  <w:num w:numId="5" w16cid:durableId="1642540801">
    <w:abstractNumId w:val="8"/>
  </w:num>
  <w:num w:numId="6" w16cid:durableId="756436437">
    <w:abstractNumId w:val="10"/>
  </w:num>
  <w:num w:numId="7" w16cid:durableId="486555224">
    <w:abstractNumId w:val="3"/>
  </w:num>
  <w:num w:numId="8" w16cid:durableId="1681159651">
    <w:abstractNumId w:val="6"/>
  </w:num>
  <w:num w:numId="9" w16cid:durableId="2135439790">
    <w:abstractNumId w:val="1"/>
  </w:num>
  <w:num w:numId="10" w16cid:durableId="1993673437">
    <w:abstractNumId w:val="4"/>
  </w:num>
  <w:num w:numId="11" w16cid:durableId="12971766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11360"/>
    <w:rsid w:val="000334AE"/>
    <w:rsid w:val="00037906"/>
    <w:rsid w:val="00042F2C"/>
    <w:rsid w:val="0005296E"/>
    <w:rsid w:val="00071D24"/>
    <w:rsid w:val="00083862"/>
    <w:rsid w:val="00097FC3"/>
    <w:rsid w:val="000A6D87"/>
    <w:rsid w:val="000B4E23"/>
    <w:rsid w:val="000E1A7B"/>
    <w:rsid w:val="000F52B4"/>
    <w:rsid w:val="00134456"/>
    <w:rsid w:val="0017240A"/>
    <w:rsid w:val="001850DD"/>
    <w:rsid w:val="0019420E"/>
    <w:rsid w:val="00195890"/>
    <w:rsid w:val="001A1A2F"/>
    <w:rsid w:val="001B4691"/>
    <w:rsid w:val="001B67C8"/>
    <w:rsid w:val="001C5D00"/>
    <w:rsid w:val="00252F3E"/>
    <w:rsid w:val="00271E0E"/>
    <w:rsid w:val="00274CD2"/>
    <w:rsid w:val="002934B1"/>
    <w:rsid w:val="00293A0F"/>
    <w:rsid w:val="0029768F"/>
    <w:rsid w:val="002B3EC0"/>
    <w:rsid w:val="002C4F76"/>
    <w:rsid w:val="002C6ACA"/>
    <w:rsid w:val="002D56DA"/>
    <w:rsid w:val="002F3FBE"/>
    <w:rsid w:val="003113EB"/>
    <w:rsid w:val="00313994"/>
    <w:rsid w:val="0033583C"/>
    <w:rsid w:val="00336DE5"/>
    <w:rsid w:val="00360D1E"/>
    <w:rsid w:val="003818BB"/>
    <w:rsid w:val="00391765"/>
    <w:rsid w:val="003B06DA"/>
    <w:rsid w:val="003D0C66"/>
    <w:rsid w:val="003E1548"/>
    <w:rsid w:val="003E41CF"/>
    <w:rsid w:val="003F44C0"/>
    <w:rsid w:val="0040180C"/>
    <w:rsid w:val="00402FB9"/>
    <w:rsid w:val="00403F81"/>
    <w:rsid w:val="00427D22"/>
    <w:rsid w:val="00440A6F"/>
    <w:rsid w:val="004834F9"/>
    <w:rsid w:val="0049621A"/>
    <w:rsid w:val="004A26EC"/>
    <w:rsid w:val="004B120A"/>
    <w:rsid w:val="004B5CEF"/>
    <w:rsid w:val="004B6327"/>
    <w:rsid w:val="004C71A1"/>
    <w:rsid w:val="004D7B52"/>
    <w:rsid w:val="004E304D"/>
    <w:rsid w:val="004F2B23"/>
    <w:rsid w:val="004F47B4"/>
    <w:rsid w:val="00512F87"/>
    <w:rsid w:val="00526523"/>
    <w:rsid w:val="00543C46"/>
    <w:rsid w:val="00581291"/>
    <w:rsid w:val="005908C5"/>
    <w:rsid w:val="00592FA6"/>
    <w:rsid w:val="005A679B"/>
    <w:rsid w:val="005C1A60"/>
    <w:rsid w:val="005C7D72"/>
    <w:rsid w:val="005D309E"/>
    <w:rsid w:val="006114AE"/>
    <w:rsid w:val="006427FD"/>
    <w:rsid w:val="006A0EFC"/>
    <w:rsid w:val="006B34AC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353B"/>
    <w:rsid w:val="00837AA5"/>
    <w:rsid w:val="00841593"/>
    <w:rsid w:val="0084294A"/>
    <w:rsid w:val="00846D2F"/>
    <w:rsid w:val="00870DBA"/>
    <w:rsid w:val="00891102"/>
    <w:rsid w:val="00896DD4"/>
    <w:rsid w:val="008A281C"/>
    <w:rsid w:val="008A7115"/>
    <w:rsid w:val="008A7ECE"/>
    <w:rsid w:val="008D6282"/>
    <w:rsid w:val="0094732C"/>
    <w:rsid w:val="00970317"/>
    <w:rsid w:val="009831BE"/>
    <w:rsid w:val="00986B4E"/>
    <w:rsid w:val="009B40C0"/>
    <w:rsid w:val="009C7748"/>
    <w:rsid w:val="009C7E49"/>
    <w:rsid w:val="009D031A"/>
    <w:rsid w:val="009D0ADD"/>
    <w:rsid w:val="009D16AA"/>
    <w:rsid w:val="009D7B99"/>
    <w:rsid w:val="009E39BE"/>
    <w:rsid w:val="009E6721"/>
    <w:rsid w:val="009F0FE6"/>
    <w:rsid w:val="00A32AE1"/>
    <w:rsid w:val="00A3603B"/>
    <w:rsid w:val="00A51CC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D78C3"/>
    <w:rsid w:val="00BE371E"/>
    <w:rsid w:val="00BF5DC7"/>
    <w:rsid w:val="00C13258"/>
    <w:rsid w:val="00C25819"/>
    <w:rsid w:val="00C46BB0"/>
    <w:rsid w:val="00C55407"/>
    <w:rsid w:val="00C6546D"/>
    <w:rsid w:val="00C664AD"/>
    <w:rsid w:val="00C74B35"/>
    <w:rsid w:val="00CA7786"/>
    <w:rsid w:val="00CB379A"/>
    <w:rsid w:val="00CB4D10"/>
    <w:rsid w:val="00CE3787"/>
    <w:rsid w:val="00D20B4E"/>
    <w:rsid w:val="00D20C17"/>
    <w:rsid w:val="00D376CC"/>
    <w:rsid w:val="00D41935"/>
    <w:rsid w:val="00D94B1B"/>
    <w:rsid w:val="00DA34CE"/>
    <w:rsid w:val="00DB2136"/>
    <w:rsid w:val="00DC578E"/>
    <w:rsid w:val="00DF6291"/>
    <w:rsid w:val="00E0433B"/>
    <w:rsid w:val="00E65A38"/>
    <w:rsid w:val="00E74E6E"/>
    <w:rsid w:val="00EE3BCE"/>
    <w:rsid w:val="00EE68B7"/>
    <w:rsid w:val="00EF5212"/>
    <w:rsid w:val="00F0167C"/>
    <w:rsid w:val="00F163EE"/>
    <w:rsid w:val="00F7342B"/>
    <w:rsid w:val="00F94ED5"/>
    <w:rsid w:val="00FB3ADC"/>
    <w:rsid w:val="00FD56A5"/>
    <w:rsid w:val="00FD68E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3957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2023-09-07T10:47:00Z</dcterms:created>
  <dcterms:modified xsi:type="dcterms:W3CDTF">2023-09-07T10:47:00Z</dcterms:modified>
</cp:coreProperties>
</file>