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document_image_rId3.gif" ContentType="image/gif"/>
  <Override PartName="/word/media/document_image_rId4.png" ContentType="image/png"/>
  <Override PartName="/word/media/document_image_rId5.png" ContentType="image/png"/>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fae8" w14:textId="3a6fae8">
      <w:pPr>
        <w:spacing w:after="75"/>
        <w:ind w:left="0"/>
        <w:jc w:val="center"/>
        <w15:collapsed w:val="false"/>
      </w:pPr>
      <w:bookmarkStart w:name="1" w:id="0"/>
      <w:r>
        <w:drawing>
          <wp:inline distT="0" distB="0" distL="0" distR="0">
            <wp:extent cx="711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711200" cy="1193800"/>
                    </a:xfrm>
                    <a:prstGeom prst="rect">
                      <a:avLst/>
                    </a:prstGeom>
                  </pic:spPr>
                </pic:pic>
              </a:graphicData>
            </a:graphic>
          </wp:inline>
        </w:drawing>
      </w:r>
    </w:p>
    <w:bookmarkEnd w:id="0"/>
    <w:bookmarkStart w:name="2" w:id="1"/>
    <w:p>
      <w:pPr>
        <w:pStyle w:val="Heading2"/>
        <w:spacing w:after="225"/>
        <w:ind w:left="0"/>
        <w:jc w:val="center"/>
      </w:pPr>
      <w:r>
        <w:rPr>
          <w:rFonts w:ascii="Times New Roman" w:hAnsi="Times New Roman"/>
          <w:color w:val="000000"/>
          <w:sz w:val="40"/>
        </w:rPr>
        <w:t>Про внесення змін до Критеріїв, за якими здійснюється визначення підприємств, установ, організацій, які мають важливе значення для забезпечення потреб територіальних громад</w:t>
      </w:r>
    </w:p>
    <w:bookmarkEnd w:id="1"/>
    <w:bookmarkStart w:name="3" w:id="2"/>
    <w:p>
      <w:pPr>
        <w:spacing w:after="75"/>
        <w:ind w:left="0"/>
        <w:jc w:val="center"/>
      </w:pPr>
      <w:r>
        <w:rPr>
          <w:rFonts w:ascii="Times New Roman" w:hAnsi="Times New Roman"/>
          <w:b/>
          <w:i w:val="false"/>
          <w:color w:val="000000"/>
          <w:sz w:val="24"/>
        </w:rPr>
        <w:t>Розпорядження Закарпатської обласної державної адміністрації,</w:t>
      </w:r>
      <w:r>
        <w:br/>
      </w:r>
      <w:r>
        <w:rPr>
          <w:rFonts w:ascii="Times New Roman" w:hAnsi="Times New Roman"/>
          <w:b/>
          <w:i w:val="false"/>
          <w:color w:val="000000"/>
          <w:sz w:val="24"/>
        </w:rPr>
        <w:t>Закарпатської обласної військової адміністрації</w:t>
      </w:r>
      <w:r>
        <w:br/>
      </w:r>
      <w:r>
        <w:rPr>
          <w:rFonts w:ascii="Times New Roman" w:hAnsi="Times New Roman"/>
          <w:b/>
          <w:i w:val="false"/>
          <w:color w:val="000000"/>
          <w:sz w:val="24"/>
        </w:rPr>
        <w:t>від 29 червня 2026 року N 470</w:t>
      </w:r>
    </w:p>
    <w:bookmarkEnd w:id="2"/>
    <w:bookmarkStart w:name="4" w:id="3"/>
    <w:p>
      <w:pPr>
        <w:spacing w:after="75"/>
        <w:ind w:left="0"/>
        <w:jc w:val="center"/>
      </w:pPr>
      <w:r>
        <w:rPr>
          <w:rFonts w:ascii="Times New Roman" w:hAnsi="Times New Roman"/>
          <w:b/>
          <w:i w:val="false"/>
          <w:color w:val="000000"/>
          <w:sz w:val="24"/>
        </w:rPr>
        <w:t>Зареєстровано в Івано-Франківському міжрегіональному управлінні Міністерства юстиції України</w:t>
      </w:r>
      <w:r>
        <w:br/>
      </w:r>
      <w:r>
        <w:rPr>
          <w:rFonts w:ascii="Times New Roman" w:hAnsi="Times New Roman"/>
          <w:b/>
          <w:i w:val="false"/>
          <w:color w:val="000000"/>
          <w:sz w:val="24"/>
        </w:rPr>
        <w:t>30 червня 2026 р. за N 64/858</w:t>
      </w:r>
    </w:p>
    <w:bookmarkEnd w:id="3"/>
    <w:bookmarkStart w:name="5" w:id="4"/>
    <w:p>
      <w:pPr>
        <w:spacing w:after="75"/>
        <w:ind w:firstLine="240"/>
        <w:jc w:val="both"/>
      </w:pPr>
      <w:r>
        <w:rPr>
          <w:rFonts w:ascii="Times New Roman" w:hAnsi="Times New Roman"/>
          <w:b w:val="false"/>
          <w:i w:val="false"/>
          <w:color w:val="000000"/>
          <w:sz w:val="24"/>
        </w:rPr>
        <w:t xml:space="preserve">Відповідно до частини першої </w:t>
      </w:r>
      <w:r>
        <w:rPr>
          <w:rFonts w:ascii="Times New Roman" w:hAnsi="Times New Roman"/>
          <w:b w:val="false"/>
          <w:i w:val="false"/>
          <w:color w:val="293a55"/>
          <w:sz w:val="24"/>
        </w:rPr>
        <w:t>статті 6</w:t>
      </w:r>
      <w:r>
        <w:rPr>
          <w:rFonts w:ascii="Times New Roman" w:hAnsi="Times New Roman"/>
          <w:b w:val="false"/>
          <w:i w:val="false"/>
          <w:color w:val="000000"/>
          <w:sz w:val="24"/>
        </w:rPr>
        <w:t xml:space="preserve">, частин першої, шостої </w:t>
      </w:r>
      <w:r>
        <w:rPr>
          <w:rFonts w:ascii="Times New Roman" w:hAnsi="Times New Roman"/>
          <w:b w:val="false"/>
          <w:i w:val="false"/>
          <w:color w:val="293a55"/>
          <w:sz w:val="24"/>
        </w:rPr>
        <w:t>статті 41 Закону України "Про місцеві державні адміністрації"</w:t>
      </w:r>
      <w:r>
        <w:rPr>
          <w:rFonts w:ascii="Times New Roman" w:hAnsi="Times New Roman"/>
          <w:b w:val="false"/>
          <w:i w:val="false"/>
          <w:color w:val="000000"/>
          <w:sz w:val="24"/>
        </w:rPr>
        <w:t xml:space="preserve">, </w:t>
      </w:r>
      <w:r>
        <w:rPr>
          <w:rFonts w:ascii="Times New Roman" w:hAnsi="Times New Roman"/>
          <w:b w:val="false"/>
          <w:i w:val="false"/>
          <w:color w:val="293a55"/>
          <w:sz w:val="24"/>
        </w:rPr>
        <w:t>пункту 8 частини сьомої статті 15 Закону України "Про правовий режим воєнного стану"</w:t>
      </w:r>
      <w:r>
        <w:rPr>
          <w:rFonts w:ascii="Times New Roman" w:hAnsi="Times New Roman"/>
          <w:b w:val="false"/>
          <w:i w:val="false"/>
          <w:color w:val="000000"/>
          <w:sz w:val="24"/>
        </w:rPr>
        <w:t xml:space="preserve">, підпункту 4 пункту 2 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w:t>
      </w:r>
      <w:r>
        <w:rPr>
          <w:rFonts w:ascii="Times New Roman" w:hAnsi="Times New Roman"/>
          <w:b w:val="false"/>
          <w:i w:val="false"/>
          <w:color w:val="293a55"/>
          <w:sz w:val="24"/>
        </w:rPr>
        <w:t>постановою Кабінету Міністрів України від 27 січня 2023 року N 76</w:t>
      </w:r>
      <w:r>
        <w:rPr>
          <w:rFonts w:ascii="Times New Roman" w:hAnsi="Times New Roman"/>
          <w:b w:val="false"/>
          <w:i w:val="false"/>
          <w:color w:val="000000"/>
          <w:sz w:val="24"/>
        </w:rPr>
        <w:t xml:space="preserve"> (у редакції </w:t>
      </w:r>
      <w:r>
        <w:rPr>
          <w:rFonts w:ascii="Times New Roman" w:hAnsi="Times New Roman"/>
          <w:b w:val="false"/>
          <w:i w:val="false"/>
          <w:color w:val="293a55"/>
          <w:sz w:val="24"/>
        </w:rPr>
        <w:t>постанови Кабінету Міністрів України від 05 червня 2024 року N 650</w:t>
      </w:r>
      <w:r>
        <w:rPr>
          <w:rFonts w:ascii="Times New Roman" w:hAnsi="Times New Roman"/>
          <w:b w:val="false"/>
          <w:i w:val="false"/>
          <w:color w:val="000000"/>
          <w:sz w:val="24"/>
        </w:rPr>
        <w:t xml:space="preserve">), з метою приведення нормативно-правових актів Закарпатської обласної військової адміністрації у відповідність до вимог чинного законодавства України </w:t>
      </w:r>
      <w:r>
        <w:rPr>
          <w:rFonts w:ascii="Times New Roman" w:hAnsi="Times New Roman"/>
          <w:b/>
          <w:i w:val="false"/>
          <w:color w:val="000000"/>
          <w:sz w:val="24"/>
        </w:rPr>
        <w:t>зобов'язую</w:t>
      </w:r>
      <w:r>
        <w:rPr>
          <w:rFonts w:ascii="Times New Roman" w:hAnsi="Times New Roman"/>
          <w:b w:val="false"/>
          <w:i w:val="false"/>
          <w:color w:val="000000"/>
          <w:sz w:val="24"/>
        </w:rPr>
        <w:t>:</w:t>
      </w:r>
    </w:p>
    <w:bookmarkEnd w:id="4"/>
    <w:bookmarkStart w:name="6" w:id="5"/>
    <w:p>
      <w:pPr>
        <w:spacing w:after="75"/>
        <w:ind w:firstLine="240"/>
        <w:jc w:val="both"/>
      </w:pPr>
      <w:r>
        <w:rPr>
          <w:rFonts w:ascii="Times New Roman" w:hAnsi="Times New Roman"/>
          <w:b w:val="false"/>
          <w:i w:val="false"/>
          <w:color w:val="000000"/>
          <w:sz w:val="24"/>
        </w:rPr>
        <w:t xml:space="preserve">1. Внести зміни до Критеріїв, за якими здійснюється визначення підприємств, установ, організацій, які мають важливе значення для забезпечення потреб територіальних громад, затверджених </w:t>
      </w:r>
      <w:r>
        <w:rPr>
          <w:rFonts w:ascii="Times New Roman" w:hAnsi="Times New Roman"/>
          <w:b w:val="false"/>
          <w:i w:val="false"/>
          <w:color w:val="293a55"/>
          <w:sz w:val="24"/>
        </w:rPr>
        <w:t>розпорядженням Закарпатської обласної військової адміністрації від 11 грудня 2024 року N 1140</w:t>
      </w:r>
      <w:r>
        <w:rPr>
          <w:rFonts w:ascii="Times New Roman" w:hAnsi="Times New Roman"/>
          <w:b w:val="false"/>
          <w:i w:val="false"/>
          <w:color w:val="000000"/>
          <w:sz w:val="24"/>
        </w:rPr>
        <w:t>, зареєстрованих у Західному міжрегіональному управлінні Міністерства юстиції 12 грудня 2024 року за N 135/625, виклавши їх у новій редакції, що додаються.</w:t>
      </w:r>
    </w:p>
    <w:bookmarkEnd w:id="5"/>
    <w:bookmarkStart w:name="7" w:id="6"/>
    <w:p>
      <w:pPr>
        <w:spacing w:after="75"/>
        <w:ind w:firstLine="240"/>
        <w:jc w:val="both"/>
      </w:pPr>
      <w:r>
        <w:rPr>
          <w:rFonts w:ascii="Times New Roman" w:hAnsi="Times New Roman"/>
          <w:b w:val="false"/>
          <w:i w:val="false"/>
          <w:color w:val="000000"/>
          <w:sz w:val="24"/>
        </w:rPr>
        <w:t>2. Це розпорядження набирає чинності після державної реєстрації у Івано-Франківському міжрегіональному управлінні Міністерства юстиції України з дня його офіційного опублікування.</w:t>
      </w:r>
    </w:p>
    <w:bookmarkEnd w:id="6"/>
    <w:bookmarkStart w:name="8" w:id="7"/>
    <w:p>
      <w:pPr>
        <w:spacing w:after="75"/>
        <w:ind w:firstLine="240"/>
        <w:jc w:val="both"/>
      </w:pPr>
      <w:r>
        <w:rPr>
          <w:rFonts w:ascii="Times New Roman" w:hAnsi="Times New Roman"/>
          <w:b w:val="false"/>
          <w:i w:val="false"/>
          <w:color w:val="000000"/>
          <w:sz w:val="24"/>
        </w:rPr>
        <w:t>3. Контроль за виконанням цього розпорядження покласти на першого заступника голови Закарпатської обласної державної адміністрації - начальника Закарпатської обласної військової адміністрації Іванча В. В.</w:t>
      </w:r>
    </w:p>
    <w:bookmarkEnd w:id="7"/>
    <w:bookmarkStart w:name="9" w:id="8"/>
    <w:p>
      <w:pPr>
        <w:spacing w:after="75"/>
        <w:ind w:firstLine="240"/>
        <w:jc w:val="both"/>
      </w:pPr>
      <w:r>
        <w:rPr>
          <w:rFonts w:ascii="Times New Roman" w:hAnsi="Times New Roman"/>
          <w:b w:val="false"/>
          <w:i w:val="false"/>
          <w:color w:val="000000"/>
          <w:sz w:val="24"/>
        </w:rPr>
        <w:t xml:space="preserve"> </w:t>
      </w:r>
    </w:p>
    <w:bookmarkEnd w:id="8"/>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120" w:hRule="atLeast"/>
        </w:trPr>
        <w:tc>
          <w:tcPr>
            <w:tcW w:w="4845" w:type="dxa"/>
            <w:tcBorders/>
            <w:vAlign w:val="center"/>
          </w:tcPr>
          <w:bookmarkStart w:name="10" w:id="9"/>
          <w:p>
            <w:pPr>
              <w:spacing w:after="75"/>
              <w:ind w:left="0"/>
              <w:jc w:val="center"/>
            </w:pPr>
            <w:r>
              <w:rPr>
                <w:rFonts w:ascii="Times New Roman" w:hAnsi="Times New Roman"/>
                <w:b/>
                <w:i w:val="false"/>
                <w:color w:val="000000"/>
                <w:sz w:val="15"/>
              </w:rPr>
              <w:t>Голова обласної державної</w:t>
            </w:r>
            <w:r>
              <w:br/>
            </w:r>
            <w:r>
              <w:rPr>
                <w:rFonts w:ascii="Times New Roman" w:hAnsi="Times New Roman"/>
                <w:b/>
                <w:i w:val="false"/>
                <w:color w:val="000000"/>
                <w:sz w:val="15"/>
              </w:rPr>
              <w:t>адміністрації - начальник</w:t>
            </w:r>
            <w:r>
              <w:br/>
            </w:r>
            <w:r>
              <w:rPr>
                <w:rFonts w:ascii="Times New Roman" w:hAnsi="Times New Roman"/>
                <w:b/>
                <w:i w:val="false"/>
                <w:color w:val="000000"/>
                <w:sz w:val="15"/>
              </w:rPr>
              <w:t>обласної військової адміністрації</w:t>
            </w:r>
          </w:p>
          <w:bookmarkEnd w:id="9"/>
        </w:tc>
        <w:tc>
          <w:tcPr>
            <w:tcW w:w="4845" w:type="dxa"/>
            <w:tcBorders/>
            <w:vAlign w:val="center"/>
          </w:tcPr>
          <w:bookmarkStart w:name="11" w:id="10"/>
          <w:p>
            <w:pPr>
              <w:spacing w:after="75"/>
              <w:ind w:left="0"/>
              <w:jc w:val="center"/>
            </w:pPr>
            <w:r>
              <w:rPr>
                <w:rFonts w:ascii="Times New Roman" w:hAnsi="Times New Roman"/>
                <w:b/>
                <w:i w:val="false"/>
                <w:color w:val="000000"/>
                <w:sz w:val="15"/>
              </w:rPr>
              <w:t>Мирослав БІЛЕЦЬКИЙ</w:t>
            </w:r>
          </w:p>
          <w:bookmarkEnd w:id="10"/>
        </w:tc>
      </w:tr>
      <w:tr>
        <w:trPr>
          <w:trHeight w:val="120" w:hRule="atLeast"/>
        </w:trPr>
        <w:tc>
          <w:tcPr>
            <w:tcW w:w="4845" w:type="dxa"/>
            <w:tcBorders/>
            <w:vAlign w:val="center"/>
          </w:tcPr>
          <w:bookmarkStart w:name="12" w:id="11"/>
          <w:p>
            <w:pPr>
              <w:spacing w:after="75"/>
              <w:ind w:left="0"/>
              <w:jc w:val="center"/>
            </w:pPr>
            <w:r>
              <w:rPr>
                <w:rFonts w:ascii="Times New Roman" w:hAnsi="Times New Roman"/>
                <w:b/>
                <w:i w:val="false"/>
                <w:color w:val="000000"/>
                <w:sz w:val="15"/>
              </w:rPr>
              <w:t>ПОГОДЖЕНО:</w:t>
            </w:r>
          </w:p>
          <w:bookmarkEnd w:id="11"/>
        </w:tc>
        <w:tc>
          <w:tcPr>
            <w:tcW w:w="4845" w:type="dxa"/>
            <w:tcBorders/>
            <w:vAlign w:val="center"/>
          </w:tcPr>
          <w:bookmarkStart w:name="13" w:id="12"/>
          <w:p>
            <w:pPr>
              <w:spacing w:after="75"/>
              <w:ind w:left="0"/>
              <w:jc w:val="center"/>
            </w:pPr>
            <w:r>
              <w:rPr>
                <w:rFonts w:ascii="Times New Roman" w:hAnsi="Times New Roman"/>
                <w:b w:val="false"/>
                <w:i w:val="false"/>
                <w:color w:val="000000"/>
                <w:sz w:val="15"/>
              </w:rPr>
              <w:t xml:space="preserve"> </w:t>
            </w:r>
          </w:p>
          <w:bookmarkEnd w:id="12"/>
        </w:tc>
      </w:tr>
      <w:tr>
        <w:trPr>
          <w:trHeight w:val="120" w:hRule="atLeast"/>
        </w:trPr>
        <w:tc>
          <w:tcPr>
            <w:tcW w:w="4845" w:type="dxa"/>
            <w:tcBorders/>
            <w:vAlign w:val="center"/>
          </w:tcPr>
          <w:bookmarkStart w:name="14" w:id="13"/>
          <w:p>
            <w:pPr>
              <w:spacing w:after="75"/>
              <w:ind w:left="0"/>
              <w:jc w:val="center"/>
            </w:pPr>
            <w:r>
              <w:rPr>
                <w:rFonts w:ascii="Times New Roman" w:hAnsi="Times New Roman"/>
                <w:b/>
                <w:i w:val="false"/>
                <w:color w:val="000000"/>
                <w:sz w:val="15"/>
              </w:rPr>
              <w:t>Лист Міністерства економіки, довкілля та</w:t>
            </w:r>
            <w:r>
              <w:br/>
            </w:r>
            <w:r>
              <w:rPr>
                <w:rFonts w:ascii="Times New Roman" w:hAnsi="Times New Roman"/>
                <w:b/>
                <w:i w:val="false"/>
                <w:color w:val="000000"/>
                <w:sz w:val="15"/>
              </w:rPr>
              <w:t>сільського господарства України</w:t>
            </w:r>
            <w:r>
              <w:br/>
            </w:r>
            <w:r>
              <w:rPr>
                <w:rFonts w:ascii="Times New Roman" w:hAnsi="Times New Roman"/>
                <w:b/>
                <w:i w:val="false"/>
                <w:color w:val="000000"/>
                <w:sz w:val="15"/>
              </w:rPr>
              <w:t>від 19 червня 2026 року N 2713-13/56854-06</w:t>
            </w:r>
          </w:p>
          <w:bookmarkEnd w:id="13"/>
        </w:tc>
        <w:tc>
          <w:tcPr>
            <w:tcW w:w="4845" w:type="dxa"/>
            <w:tcBorders/>
            <w:vAlign w:val="center"/>
          </w:tcPr>
          <w:bookmarkStart w:name="15" w:id="14"/>
          <w:p>
            <w:pPr>
              <w:spacing w:after="75"/>
              <w:ind w:left="0"/>
              <w:jc w:val="center"/>
            </w:pPr>
            <w:r>
              <w:rPr>
                <w:rFonts w:ascii="Times New Roman" w:hAnsi="Times New Roman"/>
                <w:b w:val="false"/>
                <w:i w:val="false"/>
                <w:color w:val="000000"/>
                <w:sz w:val="15"/>
              </w:rPr>
              <w:t xml:space="preserve"> </w:t>
            </w:r>
          </w:p>
          <w:bookmarkEnd w:id="14"/>
        </w:tc>
      </w:tr>
      <w:tr>
        <w:trPr>
          <w:trHeight w:val="120" w:hRule="atLeast"/>
        </w:trPr>
        <w:tc>
          <w:tcPr>
            <w:tcW w:w="4845" w:type="dxa"/>
            <w:tcBorders/>
            <w:vAlign w:val="center"/>
          </w:tcPr>
          <w:bookmarkStart w:name="16" w:id="15"/>
          <w:p>
            <w:pPr>
              <w:spacing w:after="75"/>
              <w:ind w:left="0"/>
              <w:jc w:val="center"/>
            </w:pPr>
            <w:r>
              <w:rPr>
                <w:rFonts w:ascii="Times New Roman" w:hAnsi="Times New Roman"/>
                <w:b/>
                <w:i w:val="false"/>
                <w:color w:val="000000"/>
                <w:sz w:val="15"/>
              </w:rPr>
              <w:t>Лист Міністерства оборони України</w:t>
            </w:r>
            <w:r>
              <w:br/>
            </w:r>
            <w:r>
              <w:rPr>
                <w:rFonts w:ascii="Times New Roman" w:hAnsi="Times New Roman"/>
                <w:b/>
                <w:i w:val="false"/>
                <w:color w:val="000000"/>
                <w:sz w:val="15"/>
              </w:rPr>
              <w:t>від 26 червня 2026 року N 220/2/25/8839-26</w:t>
            </w:r>
          </w:p>
          <w:bookmarkEnd w:id="15"/>
        </w:tc>
        <w:tc>
          <w:tcPr>
            <w:tcW w:w="4845" w:type="dxa"/>
            <w:tcBorders/>
            <w:vAlign w:val="center"/>
          </w:tcPr>
          <w:bookmarkStart w:name="17" w:id="16"/>
          <w:p>
            <w:pPr>
              <w:spacing w:after="75"/>
              <w:ind w:left="0"/>
              <w:jc w:val="center"/>
            </w:pPr>
            <w:r>
              <w:rPr>
                <w:rFonts w:ascii="Times New Roman" w:hAnsi="Times New Roman"/>
                <w:b w:val="false"/>
                <w:i w:val="false"/>
                <w:color w:val="000000"/>
                <w:sz w:val="15"/>
              </w:rPr>
              <w:t xml:space="preserve"> </w:t>
            </w:r>
          </w:p>
          <w:bookmarkEnd w:id="16"/>
        </w:tc>
      </w:tr>
    </w:tbl>
    <w:bookmarkStart w:name="18" w:id="17"/>
    <w:p>
      <w:pPr>
        <w:spacing w:after="75"/>
        <w:ind w:firstLine="240"/>
        <w:jc w:val="both"/>
      </w:pPr>
      <w:r>
        <w:rPr>
          <w:rFonts w:ascii="Times New Roman" w:hAnsi="Times New Roman"/>
          <w:b w:val="false"/>
          <w:i w:val="false"/>
          <w:color w:val="000000"/>
          <w:sz w:val="24"/>
        </w:rPr>
        <w:t xml:space="preserve"> </w:t>
      </w:r>
    </w:p>
    <w:bookmarkEnd w:id="17"/>
    <w:bookmarkStart w:name="19" w:id="18"/>
    <w:p>
      <w:pPr>
        <w:spacing w:after="75"/>
        <w:ind w:firstLine="240"/>
        <w:jc w:val="right"/>
      </w:pPr>
      <w:r>
        <w:rPr>
          <w:rFonts w:ascii="Times New Roman" w:hAnsi="Times New Roman"/>
          <w:b w:val="false"/>
          <w:i w:val="false"/>
          <w:color w:val="000000"/>
          <w:sz w:val="24"/>
        </w:rPr>
        <w:t>ЗАТВЕРДЖЕНО</w:t>
      </w:r>
      <w:r>
        <w:br/>
      </w:r>
      <w:r>
        <w:rPr>
          <w:rFonts w:ascii="Times New Roman" w:hAnsi="Times New Roman"/>
          <w:b w:val="false"/>
          <w:i w:val="false"/>
          <w:color w:val="000000"/>
          <w:sz w:val="24"/>
        </w:rPr>
        <w:t>Розпорядження Закарпатської обласної військової адміністрації</w:t>
      </w:r>
      <w:r>
        <w:br/>
      </w:r>
      <w:r>
        <w:rPr>
          <w:rFonts w:ascii="Times New Roman" w:hAnsi="Times New Roman"/>
          <w:b w:val="false"/>
          <w:i w:val="false"/>
          <w:color w:val="000000"/>
          <w:sz w:val="24"/>
        </w:rPr>
        <w:t>11 грудня 2024 року N 1140</w:t>
      </w:r>
      <w:r>
        <w:br/>
      </w:r>
      <w:r>
        <w:rPr>
          <w:rFonts w:ascii="Times New Roman" w:hAnsi="Times New Roman"/>
          <w:b w:val="false"/>
          <w:i w:val="false"/>
          <w:color w:val="000000"/>
          <w:sz w:val="24"/>
        </w:rPr>
        <w:t>(у редакції розпорядження Закарпатської обласної військової адміністрації</w:t>
      </w:r>
      <w:r>
        <w:br/>
      </w:r>
      <w:r>
        <w:rPr>
          <w:rFonts w:ascii="Times New Roman" w:hAnsi="Times New Roman"/>
          <w:b w:val="false"/>
          <w:i w:val="false"/>
          <w:color w:val="000000"/>
          <w:sz w:val="24"/>
        </w:rPr>
        <w:t>від 29 червня 2026 року N 470)</w:t>
      </w:r>
    </w:p>
    <w:bookmarkEnd w:id="18"/>
    <w:bookmarkStart w:name="20" w:id="19"/>
    <w:p>
      <w:pPr>
        <w:pStyle w:val="Heading3"/>
        <w:spacing w:after="225"/>
        <w:ind w:left="0"/>
        <w:jc w:val="center"/>
      </w:pPr>
      <w:r>
        <w:rPr>
          <w:rFonts w:ascii="Times New Roman" w:hAnsi="Times New Roman"/>
          <w:color w:val="000000"/>
          <w:sz w:val="32"/>
        </w:rPr>
        <w:t>КРИТЕРІЇ,</w:t>
      </w:r>
      <w:r>
        <w:br/>
      </w:r>
      <w:r>
        <w:rPr>
          <w:rFonts w:ascii="Times New Roman" w:hAnsi="Times New Roman"/>
          <w:color w:val="000000"/>
          <w:sz w:val="32"/>
        </w:rPr>
        <w:t>за якими здійснюється визначення підприємств, установ, організацій, які мають важливе значення для забезпечення потреб територіальних громад</w:t>
      </w:r>
    </w:p>
    <w:bookmarkEnd w:id="19"/>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679"/>
        <w:gridCol w:w="9011"/>
      </w:tblGrid>
      <w:tr>
        <w:trPr>
          <w:trHeight w:val="45" w:hRule="atLeast"/>
        </w:trPr>
        <w:tc>
          <w:tcPr>
            <w:tcW w:w="679" w:type="dxa"/>
            <w:tcBorders>
              <w:top w:val="outset" w:color="000000" w:sz="8"/>
              <w:left w:val="outset" w:color="000000" w:sz="8"/>
              <w:bottom w:val="outset" w:color="000000" w:sz="8"/>
              <w:right w:val="outset" w:color="000000" w:sz="8"/>
            </w:tcBorders>
            <w:vAlign w:val="center"/>
          </w:tcPr>
          <w:bookmarkStart w:name="21" w:id="20"/>
          <w:p>
            <w:pPr>
              <w:spacing w:after="75"/>
              <w:ind w:left="0"/>
              <w:jc w:val="center"/>
            </w:pPr>
            <w:r>
              <w:rPr>
                <w:rFonts w:ascii="Times New Roman" w:hAnsi="Times New Roman"/>
                <w:b/>
                <w:i w:val="false"/>
                <w:color w:val="000000"/>
                <w:sz w:val="15"/>
              </w:rPr>
              <w:t>N з/п</w:t>
            </w:r>
          </w:p>
          <w:bookmarkEnd w:id="20"/>
        </w:tc>
        <w:tc>
          <w:tcPr>
            <w:tcW w:w="9011" w:type="dxa"/>
            <w:tcBorders>
              <w:top w:val="outset" w:color="000000" w:sz="8"/>
              <w:left w:val="outset" w:color="000000" w:sz="8"/>
              <w:bottom w:val="outset" w:color="000000" w:sz="8"/>
              <w:right w:val="outset" w:color="000000" w:sz="8"/>
            </w:tcBorders>
            <w:vAlign w:val="center"/>
          </w:tcPr>
          <w:bookmarkStart w:name="22" w:id="21"/>
          <w:p>
            <w:pPr>
              <w:spacing w:after="75"/>
              <w:ind w:left="0"/>
              <w:jc w:val="center"/>
            </w:pPr>
            <w:r>
              <w:rPr>
                <w:rFonts w:ascii="Times New Roman" w:hAnsi="Times New Roman"/>
                <w:b/>
                <w:i w:val="false"/>
                <w:color w:val="000000"/>
                <w:sz w:val="15"/>
              </w:rPr>
              <w:t>Критерії</w:t>
            </w:r>
          </w:p>
          <w:bookmarkEnd w:id="21"/>
        </w:tc>
      </w:tr>
      <w:tr>
        <w:trPr>
          <w:trHeight w:val="45" w:hRule="atLeast"/>
        </w:trPr>
        <w:tc>
          <w:tcPr>
            <w:tcW w:w="679" w:type="dxa"/>
            <w:tcBorders>
              <w:top w:val="outset" w:color="000000" w:sz="8"/>
              <w:left w:val="outset" w:color="000000" w:sz="8"/>
              <w:bottom w:val="outset" w:color="000000" w:sz="8"/>
              <w:right w:val="outset" w:color="000000" w:sz="8"/>
            </w:tcBorders>
            <w:vAlign w:val="center"/>
          </w:tcPr>
          <w:bookmarkStart w:name="23" w:id="22"/>
          <w:p>
            <w:pPr>
              <w:spacing w:after="75"/>
              <w:ind w:left="0"/>
              <w:jc w:val="center"/>
            </w:pPr>
            <w:r>
              <w:rPr>
                <w:rFonts w:ascii="Times New Roman" w:hAnsi="Times New Roman"/>
                <w:b/>
                <w:i w:val="false"/>
                <w:color w:val="000000"/>
                <w:sz w:val="15"/>
              </w:rPr>
              <w:t>1</w:t>
            </w:r>
          </w:p>
          <w:bookmarkEnd w:id="22"/>
        </w:tc>
        <w:tc>
          <w:tcPr>
            <w:tcW w:w="9011" w:type="dxa"/>
            <w:tcBorders>
              <w:top w:val="outset" w:color="000000" w:sz="8"/>
              <w:left w:val="outset" w:color="000000" w:sz="8"/>
              <w:bottom w:val="outset" w:color="000000" w:sz="8"/>
              <w:right w:val="outset" w:color="000000" w:sz="8"/>
            </w:tcBorders>
            <w:vAlign w:val="center"/>
          </w:tcPr>
          <w:bookmarkStart w:name="24" w:id="23"/>
          <w:p>
            <w:pPr>
              <w:spacing w:after="75"/>
              <w:ind w:left="0"/>
              <w:jc w:val="center"/>
            </w:pPr>
            <w:r>
              <w:rPr>
                <w:rFonts w:ascii="Times New Roman" w:hAnsi="Times New Roman"/>
                <w:b/>
                <w:i w:val="false"/>
                <w:color w:val="000000"/>
                <w:sz w:val="15"/>
              </w:rPr>
              <w:t>2</w:t>
            </w:r>
          </w:p>
          <w:bookmarkEnd w:id="23"/>
        </w:tc>
      </w:tr>
      <w:tr>
        <w:trPr>
          <w:trHeight w:val="45" w:hRule="atLeast"/>
        </w:trPr>
        <w:tc>
          <w:tcPr>
            <w:tcW w:w="679" w:type="dxa"/>
            <w:tcBorders>
              <w:top w:val="outset" w:color="000000" w:sz="8"/>
              <w:left w:val="outset" w:color="000000" w:sz="8"/>
              <w:bottom w:val="outset" w:color="000000" w:sz="8"/>
              <w:right w:val="outset" w:color="000000" w:sz="8"/>
            </w:tcBorders>
            <w:vAlign w:val="center"/>
          </w:tcPr>
          <w:bookmarkStart w:name="25" w:id="24"/>
          <w:p>
            <w:pPr>
              <w:spacing w:after="75"/>
              <w:ind w:left="0"/>
              <w:jc w:val="center"/>
            </w:pPr>
            <w:r>
              <w:rPr>
                <w:rFonts w:ascii="Times New Roman" w:hAnsi="Times New Roman"/>
                <w:b w:val="false"/>
                <w:i w:val="false"/>
                <w:color w:val="000000"/>
                <w:sz w:val="15"/>
              </w:rPr>
              <w:t>1.</w:t>
            </w:r>
          </w:p>
          <w:bookmarkEnd w:id="24"/>
        </w:tc>
        <w:tc>
          <w:tcPr>
            <w:tcW w:w="9011" w:type="dxa"/>
            <w:tcBorders>
              <w:top w:val="outset" w:color="000000" w:sz="8"/>
              <w:left w:val="outset" w:color="000000" w:sz="8"/>
              <w:bottom w:val="outset" w:color="000000" w:sz="8"/>
              <w:right w:val="outset" w:color="000000" w:sz="8"/>
            </w:tcBorders>
            <w:vAlign w:val="center"/>
          </w:tcPr>
          <w:bookmarkStart w:name="26" w:id="25"/>
          <w:p>
            <w:pPr>
              <w:spacing w:after="75"/>
              <w:ind w:left="0"/>
              <w:jc w:val="left"/>
            </w:pPr>
            <w:r>
              <w:rPr>
                <w:rFonts w:ascii="Times New Roman" w:hAnsi="Times New Roman"/>
                <w:b w:val="false"/>
                <w:i w:val="false"/>
                <w:color w:val="000000"/>
                <w:sz w:val="15"/>
              </w:rPr>
              <w:t>Загальна сума сплачених податків, зборів, платежів до бюджетів, крім митних платежів, та сума сплаченого єдиного внеску на загальнообов'язкове державне соціальне страхування за останні 12 календарних місяців становить не менше 1,5 млн грн, що підтверджується довідкою контролюючого органу, в якому на обліку перебуває підприємство, установа, організація.</w:t>
            </w:r>
          </w:p>
          <w:bookmarkEnd w:id="25"/>
        </w:tc>
      </w:tr>
      <w:tr>
        <w:trPr>
          <w:trHeight w:val="45" w:hRule="atLeast"/>
        </w:trPr>
        <w:tc>
          <w:tcPr>
            <w:tcW w:w="679" w:type="dxa"/>
            <w:tcBorders>
              <w:top w:val="outset" w:color="000000" w:sz="8"/>
              <w:left w:val="outset" w:color="000000" w:sz="8"/>
              <w:bottom w:val="outset" w:color="000000" w:sz="8"/>
              <w:right w:val="outset" w:color="000000" w:sz="8"/>
            </w:tcBorders>
            <w:vAlign w:val="center"/>
          </w:tcPr>
          <w:bookmarkStart w:name="27" w:id="26"/>
          <w:p>
            <w:pPr>
              <w:spacing w:after="75"/>
              <w:ind w:left="0"/>
              <w:jc w:val="center"/>
            </w:pPr>
            <w:r>
              <w:rPr>
                <w:rFonts w:ascii="Times New Roman" w:hAnsi="Times New Roman"/>
                <w:b w:val="false"/>
                <w:i w:val="false"/>
                <w:color w:val="000000"/>
                <w:sz w:val="15"/>
              </w:rPr>
              <w:t>2.</w:t>
            </w:r>
          </w:p>
          <w:bookmarkEnd w:id="26"/>
        </w:tc>
        <w:tc>
          <w:tcPr>
            <w:tcW w:w="9011" w:type="dxa"/>
            <w:tcBorders>
              <w:top w:val="outset" w:color="000000" w:sz="8"/>
              <w:left w:val="outset" w:color="000000" w:sz="8"/>
              <w:bottom w:val="outset" w:color="000000" w:sz="8"/>
              <w:right w:val="outset" w:color="000000" w:sz="8"/>
            </w:tcBorders>
            <w:vAlign w:val="center"/>
          </w:tcPr>
          <w:bookmarkStart w:name="28" w:id="27"/>
          <w:p>
            <w:pPr>
              <w:spacing w:after="75"/>
              <w:ind w:left="0"/>
              <w:jc w:val="left"/>
            </w:pPr>
            <w:r>
              <w:rPr>
                <w:rFonts w:ascii="Times New Roman" w:hAnsi="Times New Roman"/>
                <w:b w:val="false"/>
                <w:i w:val="false"/>
                <w:color w:val="000000"/>
                <w:sz w:val="15"/>
              </w:rPr>
              <w:t>Економічно активне підприємство, установа, організація з обсягом доходів за попередній календарний рік або останні 12 календарних місяців не менше 7,5 млн грн, що підтверджується копією податкової декларації з відмітками контролюючого органу або квитанцією про прийняття податкової декларації у разі її подання засобами електронного зв'язку.</w:t>
            </w:r>
          </w:p>
          <w:bookmarkEnd w:id="27"/>
        </w:tc>
      </w:tr>
      <w:tr>
        <w:trPr>
          <w:trHeight w:val="45" w:hRule="atLeast"/>
        </w:trPr>
        <w:tc>
          <w:tcPr>
            <w:tcW w:w="679" w:type="dxa"/>
            <w:tcBorders>
              <w:top w:val="outset" w:color="000000" w:sz="8"/>
              <w:left w:val="outset" w:color="000000" w:sz="8"/>
              <w:bottom w:val="outset" w:color="000000" w:sz="8"/>
              <w:right w:val="outset" w:color="000000" w:sz="8"/>
            </w:tcBorders>
            <w:vAlign w:val="center"/>
          </w:tcPr>
          <w:bookmarkStart w:name="29" w:id="28"/>
          <w:p>
            <w:pPr>
              <w:spacing w:after="75"/>
              <w:ind w:left="0"/>
              <w:jc w:val="center"/>
            </w:pPr>
            <w:r>
              <w:rPr>
                <w:rFonts w:ascii="Times New Roman" w:hAnsi="Times New Roman"/>
                <w:b w:val="false"/>
                <w:i w:val="false"/>
                <w:color w:val="000000"/>
                <w:sz w:val="15"/>
              </w:rPr>
              <w:t>3.</w:t>
            </w:r>
          </w:p>
          <w:bookmarkEnd w:id="28"/>
        </w:tc>
        <w:tc>
          <w:tcPr>
            <w:tcW w:w="9011" w:type="dxa"/>
            <w:tcBorders>
              <w:top w:val="outset" w:color="000000" w:sz="8"/>
              <w:left w:val="outset" w:color="000000" w:sz="8"/>
              <w:bottom w:val="outset" w:color="000000" w:sz="8"/>
              <w:right w:val="outset" w:color="000000" w:sz="8"/>
            </w:tcBorders>
            <w:vAlign w:val="center"/>
          </w:tcPr>
          <w:bookmarkStart w:name="30" w:id="29"/>
          <w:p>
            <w:pPr>
              <w:spacing w:after="75"/>
              <w:ind w:left="0"/>
              <w:jc w:val="left"/>
            </w:pPr>
            <w:r>
              <w:rPr>
                <w:rFonts w:ascii="Times New Roman" w:hAnsi="Times New Roman"/>
                <w:b w:val="false"/>
                <w:i w:val="false"/>
                <w:color w:val="000000"/>
                <w:sz w:val="15"/>
              </w:rPr>
              <w:t xml:space="preserve">Середньомісячна кількість застрахованих осіб у звітному періоді, яким нараховано заробітну плату (грошове забезпечення), не менше 7 осіб, що підтверджується формою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 додатками), затвердженою </w:t>
            </w:r>
            <w:r>
              <w:rPr>
                <w:rFonts w:ascii="Times New Roman" w:hAnsi="Times New Roman"/>
                <w:b w:val="false"/>
                <w:i w:val="false"/>
                <w:color w:val="293a55"/>
                <w:sz w:val="15"/>
              </w:rPr>
              <w:t>наказом Міністерства фінансів України від 13 січня 2015 року N 4</w:t>
            </w:r>
            <w:r>
              <w:rPr>
                <w:rFonts w:ascii="Times New Roman" w:hAnsi="Times New Roman"/>
                <w:b w:val="false"/>
                <w:i w:val="false"/>
                <w:color w:val="000000"/>
                <w:sz w:val="15"/>
              </w:rPr>
              <w:t xml:space="preserve">, зареєстрованим у Міністерстві юстиції України 30 січня 2015 року за N 111/26556 (у редакції </w:t>
            </w:r>
            <w:r>
              <w:rPr>
                <w:rFonts w:ascii="Times New Roman" w:hAnsi="Times New Roman"/>
                <w:b w:val="false"/>
                <w:i w:val="false"/>
                <w:color w:val="293a55"/>
                <w:sz w:val="15"/>
              </w:rPr>
              <w:t>наказу Міністерства фінансів України від 24 січня 2025 року N 39</w:t>
            </w:r>
            <w:r>
              <w:rPr>
                <w:rFonts w:ascii="Times New Roman" w:hAnsi="Times New Roman"/>
                <w:b w:val="false"/>
                <w:i w:val="false"/>
                <w:color w:val="000000"/>
                <w:sz w:val="15"/>
              </w:rPr>
              <w:t>).</w:t>
            </w:r>
          </w:p>
          <w:bookmarkEnd w:id="29"/>
        </w:tc>
      </w:tr>
      <w:tr>
        <w:trPr>
          <w:trHeight w:val="45" w:hRule="atLeast"/>
        </w:trPr>
        <w:tc>
          <w:tcPr>
            <w:tcW w:w="679" w:type="dxa"/>
            <w:tcBorders>
              <w:top w:val="outset" w:color="000000" w:sz="8"/>
              <w:left w:val="outset" w:color="000000" w:sz="8"/>
              <w:bottom w:val="outset" w:color="000000" w:sz="8"/>
              <w:right w:val="outset" w:color="000000" w:sz="8"/>
            </w:tcBorders>
            <w:vAlign w:val="center"/>
          </w:tcPr>
          <w:bookmarkStart w:name="31" w:id="30"/>
          <w:p>
            <w:pPr>
              <w:spacing w:after="75"/>
              <w:ind w:left="0"/>
              <w:jc w:val="center"/>
            </w:pPr>
            <w:r>
              <w:rPr>
                <w:rFonts w:ascii="Times New Roman" w:hAnsi="Times New Roman"/>
                <w:b w:val="false"/>
                <w:i w:val="false"/>
                <w:color w:val="000000"/>
                <w:sz w:val="15"/>
              </w:rPr>
              <w:t>4.</w:t>
            </w:r>
          </w:p>
          <w:bookmarkEnd w:id="30"/>
        </w:tc>
        <w:tc>
          <w:tcPr>
            <w:tcW w:w="9011" w:type="dxa"/>
            <w:tcBorders>
              <w:top w:val="outset" w:color="000000" w:sz="8"/>
              <w:left w:val="outset" w:color="000000" w:sz="8"/>
              <w:bottom w:val="outset" w:color="000000" w:sz="8"/>
              <w:right w:val="outset" w:color="000000" w:sz="8"/>
            </w:tcBorders>
            <w:vAlign w:val="center"/>
          </w:tcPr>
          <w:bookmarkStart w:name="32" w:id="31"/>
          <w:p>
            <w:pPr>
              <w:spacing w:after="75"/>
              <w:ind w:left="0"/>
              <w:jc w:val="left"/>
            </w:pPr>
            <w:r>
              <w:rPr>
                <w:rFonts w:ascii="Times New Roman" w:hAnsi="Times New Roman"/>
                <w:b w:val="false"/>
                <w:i w:val="false"/>
                <w:color w:val="000000"/>
                <w:sz w:val="15"/>
              </w:rPr>
              <w:t>Обсяг експортних операцій у сфері зовнішньоекономічної діяльності становить в еквіваленті не менше 150000 євро за останні 12 календарних місяців, що передують даті звернення, що підтверджується довідкою банку.</w:t>
            </w:r>
          </w:p>
          <w:bookmarkEnd w:id="31"/>
        </w:tc>
      </w:tr>
      <w:tr>
        <w:trPr>
          <w:trHeight w:val="45" w:hRule="atLeast"/>
        </w:trPr>
        <w:tc>
          <w:tcPr>
            <w:tcW w:w="679" w:type="dxa"/>
            <w:tcBorders>
              <w:top w:val="outset" w:color="000000" w:sz="8"/>
              <w:left w:val="outset" w:color="000000" w:sz="8"/>
              <w:bottom w:val="outset" w:color="000000" w:sz="8"/>
              <w:right w:val="outset" w:color="000000" w:sz="8"/>
            </w:tcBorders>
            <w:vAlign w:val="center"/>
          </w:tcPr>
          <w:bookmarkStart w:name="33" w:id="32"/>
          <w:p>
            <w:pPr>
              <w:spacing w:after="75"/>
              <w:ind w:left="0"/>
              <w:jc w:val="center"/>
            </w:pPr>
            <w:r>
              <w:rPr>
                <w:rFonts w:ascii="Times New Roman" w:hAnsi="Times New Roman"/>
                <w:b w:val="false"/>
                <w:i w:val="false"/>
                <w:color w:val="000000"/>
                <w:sz w:val="15"/>
              </w:rPr>
              <w:t>5.</w:t>
            </w:r>
          </w:p>
          <w:bookmarkEnd w:id="32"/>
        </w:tc>
        <w:tc>
          <w:tcPr>
            <w:tcW w:w="9011" w:type="dxa"/>
            <w:tcBorders>
              <w:top w:val="outset" w:color="000000" w:sz="8"/>
              <w:left w:val="outset" w:color="000000" w:sz="8"/>
              <w:bottom w:val="outset" w:color="000000" w:sz="8"/>
              <w:right w:val="outset" w:color="000000" w:sz="8"/>
            </w:tcBorders>
            <w:vAlign w:val="center"/>
          </w:tcPr>
          <w:bookmarkStart w:name="34" w:id="33"/>
          <w:p>
            <w:pPr>
              <w:spacing w:after="75"/>
              <w:ind w:left="0"/>
              <w:jc w:val="left"/>
            </w:pPr>
            <w:r>
              <w:rPr>
                <w:rFonts w:ascii="Times New Roman" w:hAnsi="Times New Roman"/>
                <w:b w:val="false"/>
                <w:i w:val="false"/>
                <w:color w:val="000000"/>
                <w:sz w:val="15"/>
              </w:rPr>
              <w:t xml:space="preserve">Підприємства, установи, організації, які належать до державної чи комунальної форми власності, або підприємства, установи, організації, незалежно від форми власності, що мають основний вид діяльності та здійснюють господарську діяльність згідно з кодами до </w:t>
            </w:r>
            <w:r>
              <w:rPr>
                <w:rFonts w:ascii="Times New Roman" w:hAnsi="Times New Roman"/>
                <w:b w:val="false"/>
                <w:i w:val="false"/>
                <w:color w:val="293a55"/>
                <w:sz w:val="15"/>
              </w:rPr>
              <w:t>національного класифікатора ДК 009:2010 "Класифікація видів економічної діяльності"</w:t>
            </w:r>
            <w:r>
              <w:rPr>
                <w:rFonts w:ascii="Times New Roman" w:hAnsi="Times New Roman"/>
                <w:b w:val="false"/>
                <w:i w:val="false"/>
                <w:color w:val="000000"/>
                <w:sz w:val="15"/>
              </w:rPr>
              <w:t xml:space="preserve">, затвердженого </w:t>
            </w:r>
            <w:r>
              <w:rPr>
                <w:rFonts w:ascii="Times New Roman" w:hAnsi="Times New Roman"/>
                <w:b w:val="false"/>
                <w:i w:val="false"/>
                <w:color w:val="293a55"/>
                <w:sz w:val="15"/>
              </w:rPr>
              <w:t>наказом Державного комітету України з питань технічного регулювання та споживчої політики від 11 жовтня 2010 року N 457</w:t>
            </w:r>
            <w:r>
              <w:rPr>
                <w:rFonts w:ascii="Times New Roman" w:hAnsi="Times New Roman"/>
                <w:b w:val="false"/>
                <w:i w:val="false"/>
                <w:color w:val="000000"/>
                <w:sz w:val="15"/>
              </w:rPr>
              <w:t>, у сферах: будівництва споруд електропостачання та телекомунікацій (</w:t>
            </w:r>
            <w:r>
              <w:rPr>
                <w:rFonts w:ascii="Times New Roman" w:hAnsi="Times New Roman"/>
                <w:b w:val="false"/>
                <w:i w:val="false"/>
                <w:color w:val="293a55"/>
                <w:sz w:val="15"/>
              </w:rPr>
              <w:t>секція F, клас 42.22</w:t>
            </w:r>
            <w:r>
              <w:rPr>
                <w:rFonts w:ascii="Times New Roman" w:hAnsi="Times New Roman"/>
                <w:b w:val="false"/>
                <w:i w:val="false"/>
                <w:color w:val="000000"/>
                <w:sz w:val="15"/>
              </w:rPr>
              <w:t>), постачання електроенергії, газу, пари та кондиційованого повітря (</w:t>
            </w:r>
            <w:r>
              <w:rPr>
                <w:rFonts w:ascii="Times New Roman" w:hAnsi="Times New Roman"/>
                <w:b w:val="false"/>
                <w:i w:val="false"/>
                <w:color w:val="293a55"/>
                <w:sz w:val="15"/>
              </w:rPr>
              <w:t>секція D</w:t>
            </w:r>
            <w:r>
              <w:rPr>
                <w:rFonts w:ascii="Times New Roman" w:hAnsi="Times New Roman"/>
                <w:b w:val="false"/>
                <w:i w:val="false"/>
                <w:color w:val="000000"/>
                <w:sz w:val="15"/>
              </w:rPr>
              <w:t>), водопостачання; каналізації, поводження з відходами (</w:t>
            </w:r>
            <w:r>
              <w:rPr>
                <w:rFonts w:ascii="Times New Roman" w:hAnsi="Times New Roman"/>
                <w:b w:val="false"/>
                <w:i w:val="false"/>
                <w:color w:val="293a55"/>
                <w:sz w:val="15"/>
              </w:rPr>
              <w:t>секція E</w:t>
            </w:r>
            <w:r>
              <w:rPr>
                <w:rFonts w:ascii="Times New Roman" w:hAnsi="Times New Roman"/>
                <w:b w:val="false"/>
                <w:i w:val="false"/>
                <w:color w:val="000000"/>
                <w:sz w:val="15"/>
              </w:rPr>
              <w:t>), сільського господарства, лісового господарства та рибного господарства (</w:t>
            </w:r>
            <w:r>
              <w:rPr>
                <w:rFonts w:ascii="Times New Roman" w:hAnsi="Times New Roman"/>
                <w:b w:val="false"/>
                <w:i w:val="false"/>
                <w:color w:val="293a55"/>
                <w:sz w:val="15"/>
              </w:rPr>
              <w:t>секція A, розділ 01</w:t>
            </w:r>
            <w:r>
              <w:rPr>
                <w:rFonts w:ascii="Times New Roman" w:hAnsi="Times New Roman"/>
                <w:b w:val="false"/>
                <w:i w:val="false"/>
                <w:color w:val="000000"/>
                <w:sz w:val="15"/>
              </w:rPr>
              <w:t xml:space="preserve"> (крім </w:t>
            </w:r>
            <w:r>
              <w:rPr>
                <w:rFonts w:ascii="Times New Roman" w:hAnsi="Times New Roman"/>
                <w:b w:val="false"/>
                <w:i w:val="false"/>
                <w:color w:val="293a55"/>
                <w:sz w:val="15"/>
              </w:rPr>
              <w:t>групи 01.7</w:t>
            </w:r>
            <w:r>
              <w:rPr>
                <w:rFonts w:ascii="Times New Roman" w:hAnsi="Times New Roman"/>
                <w:b w:val="false"/>
                <w:i w:val="false"/>
                <w:color w:val="000000"/>
                <w:sz w:val="15"/>
              </w:rPr>
              <w:t xml:space="preserve">); </w:t>
            </w:r>
            <w:r>
              <w:rPr>
                <w:rFonts w:ascii="Times New Roman" w:hAnsi="Times New Roman"/>
                <w:b w:val="false"/>
                <w:i w:val="false"/>
                <w:color w:val="293a55"/>
                <w:sz w:val="15"/>
              </w:rPr>
              <w:t>клас 03.22</w:t>
            </w:r>
            <w:r>
              <w:rPr>
                <w:rFonts w:ascii="Times New Roman" w:hAnsi="Times New Roman"/>
                <w:b w:val="false"/>
                <w:i w:val="false"/>
                <w:color w:val="000000"/>
                <w:sz w:val="15"/>
              </w:rPr>
              <w:t xml:space="preserve"> прісноводне рибництво (аквакультура), що підтверджується витягом з Єдиного державного реєстру юридичних осіб, фізичних осіб - підприємців та громадських формувань, дата формування якого не перевищує 10-денний строк, та належним чином засвідченими копіями документів, що підтверджують здійснення основного виду господарської діяльності та фактичне здійснення такої діяльності протягом останніх 12 календарних місяців.</w:t>
            </w:r>
          </w:p>
          <w:bookmarkEnd w:id="33"/>
        </w:tc>
      </w:tr>
      <w:tr>
        <w:trPr>
          <w:trHeight w:val="45" w:hRule="atLeast"/>
        </w:trPr>
        <w:tc>
          <w:tcPr>
            <w:tcW w:w="679" w:type="dxa"/>
            <w:tcBorders>
              <w:top w:val="outset" w:color="000000" w:sz="8"/>
              <w:left w:val="outset" w:color="000000" w:sz="8"/>
              <w:bottom w:val="outset" w:color="000000" w:sz="8"/>
              <w:right w:val="outset" w:color="000000" w:sz="8"/>
            </w:tcBorders>
            <w:vAlign w:val="center"/>
          </w:tcPr>
          <w:bookmarkStart w:name="35" w:id="34"/>
          <w:p>
            <w:pPr>
              <w:spacing w:after="75"/>
              <w:ind w:left="0"/>
              <w:jc w:val="center"/>
            </w:pPr>
            <w:r>
              <w:rPr>
                <w:rFonts w:ascii="Times New Roman" w:hAnsi="Times New Roman"/>
                <w:b w:val="false"/>
                <w:i w:val="false"/>
                <w:color w:val="000000"/>
                <w:sz w:val="15"/>
              </w:rPr>
              <w:t>6.</w:t>
            </w:r>
          </w:p>
          <w:bookmarkEnd w:id="34"/>
        </w:tc>
        <w:tc>
          <w:tcPr>
            <w:tcW w:w="9011" w:type="dxa"/>
            <w:tcBorders>
              <w:top w:val="outset" w:color="000000" w:sz="8"/>
              <w:left w:val="outset" w:color="000000" w:sz="8"/>
              <w:bottom w:val="outset" w:color="000000" w:sz="8"/>
              <w:right w:val="outset" w:color="000000" w:sz="8"/>
            </w:tcBorders>
            <w:vAlign w:val="center"/>
          </w:tcPr>
          <w:bookmarkStart w:name="36" w:id="35"/>
          <w:p>
            <w:pPr>
              <w:spacing w:after="75"/>
              <w:ind w:left="0"/>
              <w:jc w:val="left"/>
            </w:pPr>
            <w:r>
              <w:rPr>
                <w:rFonts w:ascii="Times New Roman" w:hAnsi="Times New Roman"/>
                <w:b w:val="false"/>
                <w:i w:val="false"/>
                <w:color w:val="000000"/>
                <w:sz w:val="15"/>
              </w:rPr>
              <w:t xml:space="preserve">Частка працевлаштованих за основним місцем роботи осіб із статусом учасника бойових дій / особи з інвалідністю внаслідок війни у звітному періоді становить не менше 30 відсотків від середньомісячної кількості застрахованих осіб підприємства, установи, організації. Підтверджується формою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 додатками), затвердженою </w:t>
            </w:r>
            <w:r>
              <w:rPr>
                <w:rFonts w:ascii="Times New Roman" w:hAnsi="Times New Roman"/>
                <w:b w:val="false"/>
                <w:i w:val="false"/>
                <w:color w:val="293a55"/>
                <w:sz w:val="15"/>
              </w:rPr>
              <w:t>наказом Міністерства фінансів України від 13 січня 2015 року N 4</w:t>
            </w:r>
            <w:r>
              <w:rPr>
                <w:rFonts w:ascii="Times New Roman" w:hAnsi="Times New Roman"/>
                <w:b w:val="false"/>
                <w:i w:val="false"/>
                <w:color w:val="000000"/>
                <w:sz w:val="15"/>
              </w:rPr>
              <w:t xml:space="preserve">, зареєстрованим у Міністерстві юстиції України 30 січня 2015 року за N 111/26556 (у редакції </w:t>
            </w:r>
            <w:r>
              <w:rPr>
                <w:rFonts w:ascii="Times New Roman" w:hAnsi="Times New Roman"/>
                <w:b w:val="false"/>
                <w:i w:val="false"/>
                <w:color w:val="293a55"/>
                <w:sz w:val="15"/>
              </w:rPr>
              <w:t>наказу Міністерства фінансів України від 24 січня 2025 року N 39</w:t>
            </w:r>
            <w:r>
              <w:rPr>
                <w:rFonts w:ascii="Times New Roman" w:hAnsi="Times New Roman"/>
                <w:b w:val="false"/>
                <w:i w:val="false"/>
                <w:color w:val="000000"/>
                <w:sz w:val="15"/>
              </w:rPr>
              <w:t>), довідкою підприємства, установи, організації про працевлаштування таких працівників та належним чином засвідченими копіями витягів з Єдиного державного реєстру ветеранів війни.</w:t>
            </w:r>
          </w:p>
          <w:bookmarkEnd w:id="35"/>
        </w:tc>
      </w:tr>
      <w:tr>
        <w:trPr>
          <w:trHeight w:val="45" w:hRule="atLeast"/>
        </w:trPr>
        <w:tc>
          <w:tcPr>
            <w:tcW w:w="679" w:type="dxa"/>
            <w:tcBorders>
              <w:top w:val="outset" w:color="000000" w:sz="8"/>
              <w:left w:val="outset" w:color="000000" w:sz="8"/>
              <w:bottom w:val="outset" w:color="000000" w:sz="8"/>
              <w:right w:val="outset" w:color="000000" w:sz="8"/>
            </w:tcBorders>
            <w:vAlign w:val="center"/>
          </w:tcPr>
          <w:bookmarkStart w:name="37" w:id="36"/>
          <w:p>
            <w:pPr>
              <w:spacing w:after="75"/>
              <w:ind w:left="0"/>
              <w:jc w:val="center"/>
            </w:pPr>
            <w:r>
              <w:rPr>
                <w:rFonts w:ascii="Times New Roman" w:hAnsi="Times New Roman"/>
                <w:b w:val="false"/>
                <w:i w:val="false"/>
                <w:color w:val="000000"/>
                <w:sz w:val="15"/>
              </w:rPr>
              <w:t>7.</w:t>
            </w:r>
          </w:p>
          <w:bookmarkEnd w:id="36"/>
        </w:tc>
        <w:tc>
          <w:tcPr>
            <w:tcW w:w="9011" w:type="dxa"/>
            <w:tcBorders>
              <w:top w:val="outset" w:color="000000" w:sz="8"/>
              <w:left w:val="outset" w:color="000000" w:sz="8"/>
              <w:bottom w:val="outset" w:color="000000" w:sz="8"/>
              <w:right w:val="outset" w:color="000000" w:sz="8"/>
            </w:tcBorders>
            <w:vAlign w:val="center"/>
          </w:tcPr>
          <w:bookmarkStart w:name="38" w:id="37"/>
          <w:p>
            <w:pPr>
              <w:spacing w:after="75"/>
              <w:ind w:left="0"/>
              <w:jc w:val="left"/>
            </w:pPr>
            <w:r>
              <w:rPr>
                <w:rFonts w:ascii="Times New Roman" w:hAnsi="Times New Roman"/>
                <w:b w:val="false"/>
                <w:i w:val="false"/>
                <w:color w:val="000000"/>
                <w:sz w:val="15"/>
              </w:rPr>
              <w:t xml:space="preserve">Підприємства, які є учасниками індустріального парку або керуючою компанією індустріального парку та провадять діяльність відповідно до </w:t>
            </w:r>
            <w:r>
              <w:rPr>
                <w:rFonts w:ascii="Times New Roman" w:hAnsi="Times New Roman"/>
                <w:b w:val="false"/>
                <w:i w:val="false"/>
                <w:color w:val="293a55"/>
                <w:sz w:val="15"/>
              </w:rPr>
              <w:t>Закону України "Про індустріальні парки"</w:t>
            </w:r>
            <w:r>
              <w:rPr>
                <w:rFonts w:ascii="Times New Roman" w:hAnsi="Times New Roman"/>
                <w:b w:val="false"/>
                <w:i w:val="false"/>
                <w:color w:val="000000"/>
                <w:sz w:val="15"/>
              </w:rPr>
              <w:t xml:space="preserve"> в межах індустріального парку, включеного до Реєстру індустріальних (промислових) парків.</w:t>
            </w:r>
          </w:p>
          <w:bookmarkEnd w:id="37"/>
        </w:tc>
      </w:tr>
    </w:tbl>
    <w:bookmarkStart w:name="39" w:id="38"/>
    <w:p>
      <w:pPr>
        <w:spacing w:after="75"/>
        <w:ind w:firstLine="240"/>
        <w:jc w:val="both"/>
      </w:pPr>
      <w:r>
        <w:rPr>
          <w:rFonts w:ascii="Times New Roman" w:hAnsi="Times New Roman"/>
          <w:b w:val="false"/>
          <w:i w:val="false"/>
          <w:color w:val="000000"/>
          <w:sz w:val="24"/>
        </w:rPr>
        <w:t>1. Визначення підприємств, установ, організацій такими, що мають важливе значення для забезпечення потреб територіальних громад, здійснюється щодо підприємств, установ, організацій комунальної форми власності, а також підприємств, установ, організацій, які розташовані на території Закарпатської області та провадять діяльність у сфері:</w:t>
      </w:r>
    </w:p>
    <w:bookmarkEnd w:id="38"/>
    <w:bookmarkStart w:name="40" w:id="39"/>
    <w:p>
      <w:pPr>
        <w:spacing w:after="75"/>
        <w:ind w:firstLine="240"/>
        <w:jc w:val="both"/>
      </w:pPr>
      <w:r>
        <w:rPr>
          <w:rFonts w:ascii="Times New Roman" w:hAnsi="Times New Roman"/>
          <w:b w:val="false"/>
          <w:i w:val="false"/>
          <w:color w:val="000000"/>
          <w:sz w:val="24"/>
        </w:rPr>
        <w:t>сільського, лісового або рибного господарства;</w:t>
      </w:r>
    </w:p>
    <w:bookmarkEnd w:id="39"/>
    <w:bookmarkStart w:name="41" w:id="40"/>
    <w:p>
      <w:pPr>
        <w:spacing w:after="75"/>
        <w:ind w:firstLine="240"/>
        <w:jc w:val="both"/>
      </w:pPr>
      <w:r>
        <w:rPr>
          <w:rFonts w:ascii="Times New Roman" w:hAnsi="Times New Roman"/>
          <w:b w:val="false"/>
          <w:i w:val="false"/>
          <w:color w:val="000000"/>
          <w:sz w:val="24"/>
        </w:rPr>
        <w:t>добувної промисловості і розроблення кар'єрів;</w:t>
      </w:r>
    </w:p>
    <w:bookmarkEnd w:id="40"/>
    <w:bookmarkStart w:name="42" w:id="41"/>
    <w:p>
      <w:pPr>
        <w:spacing w:after="75"/>
        <w:ind w:firstLine="240"/>
        <w:jc w:val="both"/>
      </w:pPr>
      <w:r>
        <w:rPr>
          <w:rFonts w:ascii="Times New Roman" w:hAnsi="Times New Roman"/>
          <w:b w:val="false"/>
          <w:i w:val="false"/>
          <w:color w:val="000000"/>
          <w:sz w:val="24"/>
        </w:rPr>
        <w:t>переробної промисловості;</w:t>
      </w:r>
    </w:p>
    <w:bookmarkEnd w:id="41"/>
    <w:bookmarkStart w:name="43" w:id="42"/>
    <w:p>
      <w:pPr>
        <w:spacing w:after="75"/>
        <w:ind w:firstLine="240"/>
        <w:jc w:val="both"/>
      </w:pPr>
      <w:r>
        <w:rPr>
          <w:rFonts w:ascii="Times New Roman" w:hAnsi="Times New Roman"/>
          <w:b w:val="false"/>
          <w:i w:val="false"/>
          <w:color w:val="000000"/>
          <w:sz w:val="24"/>
        </w:rPr>
        <w:t>постачання електричної енергії, газу, пари та кондиційованого повітря;</w:t>
      </w:r>
    </w:p>
    <w:bookmarkEnd w:id="42"/>
    <w:bookmarkStart w:name="44" w:id="43"/>
    <w:p>
      <w:pPr>
        <w:spacing w:after="75"/>
        <w:ind w:firstLine="240"/>
        <w:jc w:val="both"/>
      </w:pPr>
      <w:r>
        <w:rPr>
          <w:rFonts w:ascii="Times New Roman" w:hAnsi="Times New Roman"/>
          <w:b w:val="false"/>
          <w:i w:val="false"/>
          <w:color w:val="000000"/>
          <w:sz w:val="24"/>
        </w:rPr>
        <w:t>водопостачання; каналізації, поводження з відходами;</w:t>
      </w:r>
    </w:p>
    <w:bookmarkEnd w:id="43"/>
    <w:bookmarkStart w:name="45" w:id="44"/>
    <w:p>
      <w:pPr>
        <w:spacing w:after="75"/>
        <w:ind w:firstLine="240"/>
        <w:jc w:val="both"/>
      </w:pPr>
      <w:r>
        <w:rPr>
          <w:rFonts w:ascii="Times New Roman" w:hAnsi="Times New Roman"/>
          <w:b w:val="false"/>
          <w:i w:val="false"/>
          <w:color w:val="000000"/>
          <w:sz w:val="24"/>
        </w:rPr>
        <w:t>будівництва;</w:t>
      </w:r>
    </w:p>
    <w:bookmarkEnd w:id="44"/>
    <w:bookmarkStart w:name="46" w:id="45"/>
    <w:p>
      <w:pPr>
        <w:spacing w:after="75"/>
        <w:ind w:firstLine="240"/>
        <w:jc w:val="both"/>
      </w:pPr>
      <w:r>
        <w:rPr>
          <w:rFonts w:ascii="Times New Roman" w:hAnsi="Times New Roman"/>
          <w:b w:val="false"/>
          <w:i w:val="false"/>
          <w:color w:val="000000"/>
          <w:sz w:val="24"/>
        </w:rPr>
        <w:t>оптової та роздрібної торгівлі; ремонту автотранспортних засобів і мотоциклів;</w:t>
      </w:r>
    </w:p>
    <w:bookmarkEnd w:id="45"/>
    <w:bookmarkStart w:name="47" w:id="46"/>
    <w:p>
      <w:pPr>
        <w:spacing w:after="75"/>
        <w:ind w:firstLine="240"/>
        <w:jc w:val="both"/>
      </w:pPr>
      <w:r>
        <w:rPr>
          <w:rFonts w:ascii="Times New Roman" w:hAnsi="Times New Roman"/>
          <w:b w:val="false"/>
          <w:i w:val="false"/>
          <w:color w:val="000000"/>
          <w:sz w:val="24"/>
        </w:rPr>
        <w:t>транспорту, складського господарства, поштової та кур'єрської діяльності.</w:t>
      </w:r>
    </w:p>
    <w:bookmarkEnd w:id="46"/>
    <w:bookmarkStart w:name="48" w:id="47"/>
    <w:p>
      <w:pPr>
        <w:spacing w:after="75"/>
        <w:ind w:firstLine="240"/>
        <w:jc w:val="both"/>
      </w:pPr>
      <w:r>
        <w:rPr>
          <w:rFonts w:ascii="Times New Roman" w:hAnsi="Times New Roman"/>
          <w:b w:val="false"/>
          <w:i w:val="false"/>
          <w:color w:val="000000"/>
          <w:sz w:val="24"/>
        </w:rPr>
        <w:t>2. Підставою для прийняття рішення про визначення підприємств, установ, організацій такими, що мають важливе значення для забезпечення потреб територіальних громад, є відповідність не менше трьом критеріям, визначеним у пунктах 1 - 7 таблиці цих Критеріїв.</w:t>
      </w:r>
    </w:p>
    <w:bookmarkEnd w:id="47"/>
    <w:bookmarkStart w:name="49" w:id="48"/>
    <w:p>
      <w:pPr>
        <w:spacing w:after="75"/>
        <w:ind w:firstLine="240"/>
        <w:jc w:val="both"/>
      </w:pPr>
      <w:r>
        <w:rPr>
          <w:rFonts w:ascii="Times New Roman" w:hAnsi="Times New Roman"/>
          <w:b w:val="false"/>
          <w:i w:val="false"/>
          <w:color w:val="000000"/>
          <w:sz w:val="24"/>
        </w:rPr>
        <w:t>3. Підставою для позбавлення підприємств, установ, організацій статусу таких, що мають важливе значення для забезпечення потреб територіальних громад, є недотримання упродовж дії такого статусу критеріїв, відповідно до яких визначаються підприємства, установи, організації такими, що мають важливе значення для забезпечення потреб територіальних громад.</w:t>
      </w:r>
    </w:p>
    <w:bookmarkEnd w:id="48"/>
    <w:bookmarkStart w:name="50" w:id="49"/>
    <w:p>
      <w:pPr>
        <w:spacing w:after="75"/>
        <w:ind w:firstLine="240"/>
        <w:jc w:val="both"/>
      </w:pPr>
      <w:r>
        <w:rPr>
          <w:rFonts w:ascii="Times New Roman" w:hAnsi="Times New Roman"/>
          <w:b w:val="false"/>
          <w:i w:val="false"/>
          <w:color w:val="000000"/>
          <w:sz w:val="24"/>
        </w:rPr>
        <w:t xml:space="preserve"> </w:t>
      </w:r>
    </w:p>
    <w:bookmarkEnd w:id="49"/>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51" w:id="50"/>
          <w:p>
            <w:pPr>
              <w:spacing w:after="75"/>
              <w:ind w:left="0"/>
              <w:jc w:val="center"/>
            </w:pPr>
            <w:r>
              <w:rPr>
                <w:rFonts w:ascii="Times New Roman" w:hAnsi="Times New Roman"/>
                <w:b/>
                <w:i w:val="false"/>
                <w:color w:val="000000"/>
                <w:sz w:val="15"/>
              </w:rPr>
              <w:t>Директор департаменту економічного</w:t>
            </w:r>
            <w:r>
              <w:br/>
            </w:r>
            <w:r>
              <w:rPr>
                <w:rFonts w:ascii="Times New Roman" w:hAnsi="Times New Roman"/>
                <w:b/>
                <w:i w:val="false"/>
                <w:color w:val="000000"/>
                <w:sz w:val="15"/>
              </w:rPr>
              <w:t>та регіонального розвитку Закарпатської</w:t>
            </w:r>
            <w:r>
              <w:br/>
            </w:r>
            <w:r>
              <w:rPr>
                <w:rFonts w:ascii="Times New Roman" w:hAnsi="Times New Roman"/>
                <w:b/>
                <w:i w:val="false"/>
                <w:color w:val="000000"/>
                <w:sz w:val="15"/>
              </w:rPr>
              <w:t>обласної державної адміністрації</w:t>
            </w:r>
          </w:p>
          <w:bookmarkEnd w:id="50"/>
        </w:tc>
        <w:tc>
          <w:tcPr>
            <w:tcW w:w="4845" w:type="dxa"/>
            <w:tcBorders/>
            <w:vAlign w:val="center"/>
          </w:tcPr>
          <w:bookmarkStart w:name="52" w:id="51"/>
          <w:p>
            <w:pPr>
              <w:spacing w:after="75"/>
              <w:ind w:left="0"/>
              <w:jc w:val="center"/>
            </w:pPr>
            <w:r>
              <w:rPr>
                <w:rFonts w:ascii="Times New Roman" w:hAnsi="Times New Roman"/>
                <w:b/>
                <w:i w:val="false"/>
                <w:color w:val="000000"/>
                <w:sz w:val="15"/>
              </w:rPr>
              <w:t>Тарас ТРИНДЯК</w:t>
            </w:r>
          </w:p>
          <w:bookmarkEnd w:id="51"/>
        </w:tc>
      </w:tr>
    </w:tbl>
    <w:bookmarkStart w:name="53" w:id="52"/>
    <w:p>
      <w:pPr>
        <w:spacing w:after="75"/>
        <w:ind w:firstLine="240"/>
        <w:jc w:val="both"/>
      </w:pPr>
    </w:p>
    <w:bookmarkEnd w:id="52"/>
    <w:tbl>
      <w:tblPr>
        <w:tblW w:w="0" w:type="auto"/>
        <w:tblCellSpacing w:w="30" w:type="dxa"/>
        <w:tblBorders>
          <w:top w:val="none"/>
          <w:left w:val="none"/>
          <w:bottom w:val="none"/>
          <w:right w:val="none"/>
          <w:insideH w:val="none"/>
          <w:insideV w:val="none"/>
        </w:tblBorders>
      </w:tblPr>
      <w:tblGrid>
        <w:gridCol w:w="6613"/>
        <w:gridCol w:w="3017"/>
      </w:tblGrid>
      <w:tr>
        <w:trPr>
          <w:trHeight w:val="30" w:hRule="atLeast"/>
        </w:trPr>
        <w:tc>
          <w:tcPr>
            <w:tcW w:w="6613" w:type="dxa"/>
            <w:tcBorders/>
            <w:vAlign w:val="center"/>
          </w:tcPr>
          <w:p>
            <w:r>
              <w:drawing>
                <wp:inline distT="0" distB="0" distL="0" distR="0">
                  <wp:extent cx="1016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6000" cy="177800"/>
                          </a:xfrm>
                          <a:prstGeom prst="rect">
                            <a:avLst/>
                          </a:prstGeom>
                        </pic:spPr>
                      </pic:pic>
                    </a:graphicData>
                  </a:graphic>
                </wp:inline>
              </w:drawing>
            </w:r>
          </w:p>
        </w:tc>
        <w:tc>
          <w:tcPr>
            <w:tcW w:w="3017" w:type="dxa"/>
            <w:tcBorders/>
            <w:vAlign w:val="center"/>
          </w:tcPr>
          <w:p/>
        </w:tc>
      </w:tr>
      <w:tr>
        <w:trPr>
          <w:trHeight w:val="30" w:hRule="atLeast"/>
        </w:trPr>
        <w:tc>
          <w:tcPr>
            <w:tcW w:w="0" w:type="auto"/>
            <w:gridSpan w:val="2"/>
            <w:tcBorders/>
            <w:vAlign w:val="center"/>
          </w:tcPr>
          <w:p>
            <w:pPr>
              <w:spacing/>
              <w:ind w:left="0"/>
              <w:jc w:val="left"/>
            </w:pPr>
            <w:r>
              <w:rPr>
                <w:rFonts w:ascii="Arial" w:hAnsi="Arial"/>
                <w:b/>
                <w:i w:val="false"/>
                <w:color w:val="000000"/>
                <w:sz w:val="21"/>
              </w:rPr>
              <w:t>Про внесення змін до Критеріїв, за якими здійснюється визначення підприємств, установ, організацій, які мають важливе значення для забезпечення потреб територіальних громад</w:t>
            </w:r>
          </w:p>
        </w:tc>
      </w:tr>
      <w:tr>
        <w:trPr>
          <w:trHeight w:val="30" w:hRule="atLeast"/>
        </w:trPr>
        <w:tc>
          <w:tcPr>
            <w:tcW w:w="6613" w:type="dxa"/>
            <w:tcBorders/>
            <w:vAlign w:val="center"/>
          </w:tcPr>
          <w:p>
            <w:pPr>
              <w:spacing/>
              <w:ind w:left="0"/>
              <w:jc w:val="left"/>
            </w:pPr>
            <w:r>
              <w:rPr>
                <w:rFonts w:ascii="Arial" w:hAnsi="Arial"/>
                <w:b/>
                <w:i w:val="false"/>
                <w:color w:val="000000"/>
                <w:sz w:val="21"/>
              </w:rPr>
              <w:t>Розпорядження</w:t>
            </w:r>
            <w:r>
              <w:rPr>
                <w:rFonts w:ascii="Arial" w:hAnsi="Arial"/>
                <w:b w:val="false"/>
                <w:i w:val="false"/>
                <w:color w:val="000000"/>
                <w:sz w:val="21"/>
              </w:rPr>
              <w:t xml:space="preserve"> від </w:t>
            </w:r>
            <w:r>
              <w:rPr>
                <w:rFonts w:ascii="Arial" w:hAnsi="Arial"/>
                <w:b/>
                <w:i w:val="false"/>
                <w:color w:val="000000"/>
                <w:sz w:val="21"/>
              </w:rPr>
              <w:t>29.06.2026</w:t>
            </w:r>
            <w:r>
              <w:rPr>
                <w:rFonts w:ascii="Arial" w:hAnsi="Arial"/>
                <w:b w:val="false"/>
                <w:i w:val="false"/>
                <w:color w:val="000000"/>
                <w:sz w:val="21"/>
              </w:rPr>
              <w:t xml:space="preserve"> № </w:t>
            </w:r>
            <w:r>
              <w:rPr>
                <w:rFonts w:ascii="Arial" w:hAnsi="Arial"/>
                <w:b/>
                <w:i w:val="false"/>
                <w:color w:val="000000"/>
                <w:sz w:val="21"/>
              </w:rPr>
              <w:t>470</w:t>
            </w:r>
          </w:p>
          <w:p>
            <w:pPr>
              <w:spacing/>
              <w:ind w:left="0"/>
              <w:jc w:val="left"/>
            </w:pPr>
            <w:r>
              <w:rPr>
                <w:rFonts w:ascii="Arial" w:hAnsi="Arial"/>
                <w:b w:val="false"/>
                <w:i w:val="false"/>
                <w:color w:val="000000"/>
                <w:sz w:val="21"/>
              </w:rPr>
              <w:t xml:space="preserve">Статус: </w:t>
            </w:r>
            <w:r>
              <w:rPr>
                <w:rFonts w:ascii="Arial" w:hAnsi="Arial"/>
                <w:b/>
                <w:i w:val="false"/>
                <w:color w:val="000000"/>
                <w:sz w:val="21"/>
              </w:rPr>
              <w:t>Чинний</w:t>
            </w:r>
          </w:p>
          <w:p>
            <w:pPr>
              <w:spacing/>
              <w:ind w:left="0"/>
              <w:jc w:val="left"/>
            </w:pPr>
            <w:r>
              <w:rPr>
                <w:rFonts w:ascii="Arial" w:hAnsi="Arial"/>
                <w:b w:val="false"/>
                <w:i w:val="false"/>
                <w:color w:val="000000"/>
                <w:sz w:val="21"/>
              </w:rPr>
              <w:t xml:space="preserve">Чинна редакція: </w:t>
            </w:r>
            <w:r>
              <w:rPr>
                <w:rFonts w:ascii="Arial" w:hAnsi="Arial"/>
                <w:b/>
                <w:i w:val="false"/>
                <w:color w:val="000000"/>
                <w:sz w:val="21"/>
              </w:rPr>
              <w:t>29.06.2026</w:t>
            </w:r>
          </w:p>
        </w:tc>
        <w:tc>
          <w:tcPr>
            <w:tcW w:w="3017" w:type="dxa"/>
            <w:tcBorders/>
            <w:vAlign w:val="center"/>
          </w:tcPr>
          <w:p>
            <w:r>
              <w:drawing>
                <wp:inline distT="0" distB="0" distL="0" distR="0">
                  <wp:extent cx="1397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0" cy="1397000"/>
                          </a:xfrm>
                          <a:prstGeom prst="rect">
                            <a:avLst/>
                          </a:prstGeom>
                        </pic:spPr>
                      </pic:pic>
                    </a:graphicData>
                  </a:graphic>
                </wp:inline>
              </w:drawing>
            </w:r>
          </w:p>
        </w:tc>
      </w:tr>
      <w:tr>
        <w:trPr>
          <w:trHeight w:val="30" w:hRule="atLeast"/>
        </w:trPr>
        <w:tc>
          <w:tcPr>
            <w:tcW w:w="0" w:type="auto"/>
            <w:gridSpan w:val="2"/>
            <w:tcBorders/>
            <w:vAlign w:val="center"/>
          </w:tcPr>
          <w:p>
            <w:pPr>
              <w:spacing/>
              <w:ind w:left="0"/>
              <w:jc w:val="left"/>
            </w:pPr>
            <w:r>
              <w:rPr>
                <w:rFonts w:ascii="Arial" w:hAnsi="Arial"/>
                <w:b w:val="false"/>
                <w:i w:val="false"/>
                <w:color w:val="000000"/>
                <w:sz w:val="21"/>
              </w:rPr>
              <w:t>Адреса документа:</w:t>
            </w:r>
          </w:p>
          <w:p>
            <w:pPr>
              <w:spacing/>
              <w:ind w:left="0"/>
              <w:jc w:val="left"/>
            </w:pPr>
            <w:r>
              <w:rPr>
                <w:rFonts w:ascii="Arial" w:hAnsi="Arial"/>
                <w:b w:val="false"/>
                <w:i w:val="false"/>
                <w:color w:val="000000"/>
                <w:sz w:val="21"/>
              </w:rPr>
              <w:t xml:space="preserve"> </w:t>
            </w:r>
            <w:r>
              <w:rPr>
                <w:rFonts w:ascii="Arial" w:hAnsi="Arial"/>
                <w:b/>
                <w:i w:val="false"/>
                <w:color w:val="000000"/>
                <w:sz w:val="18"/>
              </w:rPr>
              <w:t>https://zakon-pro.ligazakon.net/document/ZA260003</w:t>
            </w:r>
          </w:p>
        </w:tc>
      </w:tr>
    </w:tbl>
    <w:tbl>
      <w:tblPr>
        <w:tblW w:w="0" w:type="auto"/>
        <w:tblCellSpacing w:w="0" w:type="auto"/>
        <w:tblBorders>
          <w:top w:val="single" w:color="e5e2ff" w:sz="8"/>
          <w:left w:val="none"/>
          <w:bottom w:val="none"/>
          <w:right w:val="none"/>
          <w:insideH w:val="none"/>
          <w:insideV w:val="none"/>
        </w:tblBorders>
      </w:tblPr>
      <w:tblGrid>
        <w:gridCol w:w="8721"/>
        <w:gridCol w:w="969"/>
      </w:tblGrid>
      <w:tr>
        <w:trPr>
          <w:trHeight w:val="195" w:hRule="atLeast"/>
        </w:trPr>
        <w:tc>
          <w:tcPr>
            <w:tcW w:w="8721" w:type="dxa"/>
            <w:tcBorders/>
            <w:vAlign w:val="center"/>
          </w:tcPr>
          <w:p>
            <w:pPr>
              <w:spacing w:after="0"/>
              <w:ind w:left="0"/>
              <w:jc w:val="left"/>
            </w:pPr>
            <w:r>
              <w:rPr>
                <w:rFonts w:ascii="Arial" w:hAnsi="Arial"/>
                <w:b w:val="false"/>
                <w:i w:val="false"/>
                <w:color w:val="000000"/>
                <w:sz w:val="18"/>
              </w:rPr>
              <w:t>© ТОВ "Інформаційно-аналітичний центр "ЛІГА", 2026</w:t>
            </w:r>
            <w:r>
              <w:br/>
            </w:r>
            <w:r>
              <w:rPr>
                <w:rFonts w:ascii="Arial" w:hAnsi="Arial"/>
                <w:b w:val="false"/>
                <w:i w:val="false"/>
                <w:color w:val="000000"/>
                <w:sz w:val="18"/>
              </w:rPr>
              <w:t>© ТОВ "ЛІГА ЗАКОН", 2026</w:t>
            </w:r>
          </w:p>
        </w:tc>
        <w:tc>
          <w:tcPr>
            <w:tcW w:w="969" w:type="dxa"/>
            <w:tcBorders/>
            <w:vAlign w:val="center"/>
          </w:tcPr>
          <w:p>
            <w:pPr>
              <w:spacing w:after="0"/>
              <w:ind w:left="0"/>
              <w:jc w:val="left"/>
            </w:pPr>
          </w:p>
        </w:tc>
      </w:tr>
    </w:tbl>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uk-UA" w:eastAsia="uk-UA"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uk-UA" w:eastAsia="uk-UA"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image" Target="media/document_image_rId3.gif"/><Relationship Id="rId7"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image" Target="media/document_image_rId5.png"/><Relationship Id="rId4" Type="http://schemas.openxmlformats.org/officeDocument/2006/relationships/image" Target="media/document_image_rId4.png"/></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B308DFD1B69845BD5B70CA9D1525D9" ma:contentTypeVersion="15" ma:contentTypeDescription="Створення нового документа." ma:contentTypeScope="" ma:versionID="a2cc564aee8da1ef7bd86b5dfc8efac3">
  <xsd:schema xmlns:xsd="http://www.w3.org/2001/XMLSchema" xmlns:xs="http://www.w3.org/2001/XMLSchema" xmlns:p="http://schemas.microsoft.com/office/2006/metadata/properties" xmlns:ns2="da7d07d7-5145-4ed6-99e4-26d0809d42f9" xmlns:ns3="5b7e80e6-8821-4be9-8917-c0ee21c1c9c7" targetNamespace="http://schemas.microsoft.com/office/2006/metadata/properties" ma:root="true" ma:fieldsID="c994ee4c5a2966839a8ac6644a7bf6f2" ns2:_="" ns3:_="">
    <xsd:import namespace="da7d07d7-5145-4ed6-99e4-26d0809d42f9"/>
    <xsd:import namespace="5b7e80e6-8821-4be9-8917-c0ee21c1c9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d07d7-5145-4ed6-99e4-26d0809d4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Теги зображень" ma:readOnly="false" ma:fieldId="{5cf76f15-5ced-4ddc-b409-7134ff3c332f}" ma:taxonomyMulti="true" ma:sspId="190df430-6475-4a1d-8646-ae46a32db56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e80e6-8821-4be9-8917-c0ee21c1c9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4202357-4221-450e-bc2b-29806c01b8e6}" ma:internalName="TaxCatchAll" ma:showField="CatchAllData" ma:web="5b7e80e6-8821-4be9-8917-c0ee21c1c9c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7d07d7-5145-4ed6-99e4-26d0809d42f9">
      <Terms xmlns="http://schemas.microsoft.com/office/infopath/2007/PartnerControls"/>
    </lcf76f155ced4ddcb4097134ff3c332f>
    <TaxCatchAll xmlns="5b7e80e6-8821-4be9-8917-c0ee21c1c9c7" xsi:nil="true"/>
  </documentManagement>
</p:properties>
</file>

<file path=customXml/itemProps1.xml><?xml version="1.0" encoding="utf-8"?>
<ds:datastoreItem xmlns:ds="http://schemas.openxmlformats.org/officeDocument/2006/customXml" ds:itemID="{9B5E86BC-5B00-48B9-AEAF-3DC16F9EDF09}"/>
</file>

<file path=customXml/itemProps2.xml><?xml version="1.0" encoding="utf-8"?>
<ds:datastoreItem xmlns:ds="http://schemas.openxmlformats.org/officeDocument/2006/customXml" ds:itemID="{50917E45-D65D-4815-91BE-035DD117F300}"/>
</file>

<file path=customXml/itemProps3.xml><?xml version="1.0" encoding="utf-8"?>
<ds:datastoreItem xmlns:ds="http://schemas.openxmlformats.org/officeDocument/2006/customXml" ds:itemID="{7216D57C-2297-41AE-87B2-0CB6D6A87ED3}"/>
</file>

<file path=docProps/app.xml><?xml version="1.0" encoding="utf-8"?>
<properties:Properties xmlns:vt="http://schemas.openxmlformats.org/officeDocument/2006/docPropsVTypes" xmlns:properties="http://schemas.openxmlformats.org/officeDocument/2006/extended-properties">
  <properties:Application>docx4j</properties:Application>
  <properties:AppVersion>3.3</properties:AppVersion>
</properties: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docx4j</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0x01010091B308DFD1B69845BD5B70CA9D1525D9</vt:lpwstr>
  </property>
</Properties>
</file>