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F85A2" w14:textId="6AB5BCBB" w:rsidR="003D28FF" w:rsidRPr="00EB3C35" w:rsidRDefault="0073225F" w:rsidP="003D28FF">
      <w:pPr>
        <w:pStyle w:val="Ch60"/>
        <w:rPr>
          <w:w w:val="100"/>
          <w:sz w:val="24"/>
          <w:szCs w:val="24"/>
        </w:rPr>
      </w:pPr>
      <w:r>
        <w:rPr>
          <w:noProof/>
          <w:w w:val="100"/>
          <w:sz w:val="24"/>
          <w:szCs w:val="24"/>
          <w14:ligatures w14:val="standardContextual"/>
        </w:rPr>
        <w:drawing>
          <wp:inline distT="0" distB="0" distL="0" distR="0" wp14:anchorId="59163EE1" wp14:editId="0B04AA2D">
            <wp:extent cx="6298390" cy="7458115"/>
            <wp:effectExtent l="0" t="0" r="7620" b="0"/>
            <wp:docPr id="113972070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720706" name="Рисунок 1139720706"/>
                    <pic:cNvPicPr/>
                  </pic:nvPicPr>
                  <pic:blipFill>
                    <a:blip r:embed="rId6">
                      <a:extLst>
                        <a:ext uri="{28A0092B-C50C-407E-A947-70E740481C1C}">
                          <a14:useLocalDpi xmlns:a14="http://schemas.microsoft.com/office/drawing/2010/main" val="0"/>
                        </a:ext>
                      </a:extLst>
                    </a:blip>
                    <a:stretch>
                      <a:fillRect/>
                    </a:stretch>
                  </pic:blipFill>
                  <pic:spPr>
                    <a:xfrm>
                      <a:off x="0" y="0"/>
                      <a:ext cx="6298390" cy="7458115"/>
                    </a:xfrm>
                    <a:prstGeom prst="rect">
                      <a:avLst/>
                    </a:prstGeom>
                  </pic:spPr>
                </pic:pic>
              </a:graphicData>
            </a:graphic>
          </wp:inline>
        </w:drawing>
      </w:r>
    </w:p>
    <w:p w14:paraId="01865A04" w14:textId="43788874" w:rsidR="003D28FF" w:rsidRPr="00EB3C35" w:rsidRDefault="0073225F" w:rsidP="003D28FF">
      <w:pPr>
        <w:pStyle w:val="Ch60"/>
        <w:rPr>
          <w:w w:val="100"/>
          <w:sz w:val="24"/>
          <w:szCs w:val="24"/>
        </w:rPr>
      </w:pPr>
      <w:r>
        <w:rPr>
          <w:noProof/>
          <w:w w:val="100"/>
          <w:sz w:val="24"/>
          <w:szCs w:val="24"/>
          <w14:ligatures w14:val="standardContextual"/>
        </w:rPr>
        <w:lastRenderedPageBreak/>
        <w:drawing>
          <wp:inline distT="0" distB="0" distL="0" distR="0" wp14:anchorId="021795F9" wp14:editId="5BE20896">
            <wp:extent cx="6298390" cy="6504774"/>
            <wp:effectExtent l="0" t="0" r="7620" b="0"/>
            <wp:docPr id="144506363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063631" name="Рисунок 1445063631"/>
                    <pic:cNvPicPr/>
                  </pic:nvPicPr>
                  <pic:blipFill>
                    <a:blip r:embed="rId7">
                      <a:extLst>
                        <a:ext uri="{28A0092B-C50C-407E-A947-70E740481C1C}">
                          <a14:useLocalDpi xmlns:a14="http://schemas.microsoft.com/office/drawing/2010/main" val="0"/>
                        </a:ext>
                      </a:extLst>
                    </a:blip>
                    <a:stretch>
                      <a:fillRect/>
                    </a:stretch>
                  </pic:blipFill>
                  <pic:spPr>
                    <a:xfrm>
                      <a:off x="0" y="0"/>
                      <a:ext cx="6298390" cy="6504774"/>
                    </a:xfrm>
                    <a:prstGeom prst="rect">
                      <a:avLst/>
                    </a:prstGeom>
                  </pic:spPr>
                </pic:pic>
              </a:graphicData>
            </a:graphic>
          </wp:inline>
        </w:drawing>
      </w:r>
    </w:p>
    <w:p w14:paraId="1A380DD8" w14:textId="77777777" w:rsidR="003D28FF" w:rsidRPr="00EB3C35" w:rsidRDefault="003D28FF" w:rsidP="003D28FF">
      <w:pPr>
        <w:pStyle w:val="SnoskaSNOSKI"/>
        <w:spacing w:before="283"/>
        <w:rPr>
          <w:w w:val="100"/>
          <w:sz w:val="20"/>
          <w:szCs w:val="20"/>
        </w:rPr>
      </w:pPr>
      <w:r w:rsidRPr="003D28FF">
        <w:rPr>
          <w:w w:val="100"/>
          <w:sz w:val="20"/>
          <w:szCs w:val="20"/>
          <w:vertAlign w:val="superscript"/>
        </w:rPr>
        <w:t>1</w:t>
      </w:r>
      <w:r w:rsidRPr="00EB3C35">
        <w:rPr>
          <w:w w:val="100"/>
          <w:sz w:val="20"/>
          <w:szCs w:val="20"/>
        </w:rPr>
        <w:tab/>
        <w:t>Звіт, який подається за звітний період першим.</w:t>
      </w:r>
    </w:p>
    <w:p w14:paraId="7377C865" w14:textId="77777777" w:rsidR="003D28FF" w:rsidRPr="00EB3C35" w:rsidRDefault="003D28FF" w:rsidP="003D28FF">
      <w:pPr>
        <w:pStyle w:val="SnoskaSNOSKI"/>
        <w:pBdr>
          <w:top w:val="none" w:sz="0" w:space="0" w:color="auto"/>
        </w:pBdr>
        <w:rPr>
          <w:w w:val="100"/>
          <w:sz w:val="20"/>
          <w:szCs w:val="20"/>
        </w:rPr>
      </w:pPr>
      <w:r w:rsidRPr="003D28FF">
        <w:rPr>
          <w:w w:val="100"/>
          <w:sz w:val="20"/>
          <w:szCs w:val="20"/>
          <w:vertAlign w:val="superscript"/>
        </w:rPr>
        <w:t>2</w:t>
      </w:r>
      <w:r w:rsidRPr="00EB3C35">
        <w:rPr>
          <w:w w:val="100"/>
          <w:sz w:val="20"/>
          <w:szCs w:val="20"/>
        </w:rPr>
        <w:tab/>
        <w:t>Звіт, який подається наступним за звітний період до закінчення граничного строку подання.</w:t>
      </w:r>
    </w:p>
    <w:p w14:paraId="554FC77C" w14:textId="77777777" w:rsidR="003D28FF" w:rsidRPr="00EB3C35" w:rsidRDefault="003D28FF" w:rsidP="003D28FF">
      <w:pPr>
        <w:pStyle w:val="SnoskaSNOSKI"/>
        <w:pBdr>
          <w:top w:val="none" w:sz="0" w:space="0" w:color="auto"/>
        </w:pBdr>
        <w:rPr>
          <w:w w:val="100"/>
          <w:sz w:val="20"/>
          <w:szCs w:val="20"/>
        </w:rPr>
      </w:pPr>
      <w:r w:rsidRPr="003D28FF">
        <w:rPr>
          <w:w w:val="100"/>
          <w:sz w:val="20"/>
          <w:szCs w:val="20"/>
          <w:vertAlign w:val="superscript"/>
        </w:rPr>
        <w:t>3</w:t>
      </w:r>
      <w:r w:rsidRPr="003D28FF">
        <w:rPr>
          <w:w w:val="100"/>
          <w:sz w:val="20"/>
          <w:szCs w:val="20"/>
          <w:vertAlign w:val="superscript"/>
        </w:rPr>
        <w:tab/>
      </w:r>
      <w:r w:rsidRPr="00EB3C35">
        <w:rPr>
          <w:w w:val="100"/>
          <w:sz w:val="20"/>
          <w:szCs w:val="20"/>
        </w:rPr>
        <w:t>Звіт, який подається після закінчення граничного строку подання для відповідного звітного періоду.</w:t>
      </w:r>
    </w:p>
    <w:p w14:paraId="70A4BAC8" w14:textId="77777777" w:rsidR="003D28FF" w:rsidRPr="00EB3C35" w:rsidRDefault="003D28FF" w:rsidP="003D28FF">
      <w:pPr>
        <w:pStyle w:val="SnoskaSNOSKI"/>
        <w:pBdr>
          <w:top w:val="none" w:sz="0" w:space="0" w:color="auto"/>
        </w:pBdr>
        <w:rPr>
          <w:w w:val="100"/>
          <w:sz w:val="20"/>
          <w:szCs w:val="20"/>
        </w:rPr>
      </w:pPr>
      <w:r w:rsidRPr="003D28FF">
        <w:rPr>
          <w:w w:val="100"/>
          <w:sz w:val="20"/>
          <w:szCs w:val="20"/>
          <w:vertAlign w:val="superscript"/>
        </w:rPr>
        <w:t>4</w:t>
      </w:r>
      <w:r w:rsidRPr="00EB3C35">
        <w:rPr>
          <w:w w:val="100"/>
          <w:sz w:val="20"/>
          <w:szCs w:val="20"/>
        </w:rPr>
        <w:tab/>
        <w:t>Зазначається звітний період, за який подається Звіт та обов’язково зазначається номер Звіту (в хронологічному порядку незалежно від типу Звіту), що подається за звітний період.</w:t>
      </w:r>
    </w:p>
    <w:p w14:paraId="7A9E8995" w14:textId="77777777" w:rsidR="003D28FF" w:rsidRPr="00EB3C35" w:rsidRDefault="003D28FF" w:rsidP="003D28FF">
      <w:pPr>
        <w:pStyle w:val="SnoskaSNOSKI"/>
        <w:pBdr>
          <w:top w:val="none" w:sz="0" w:space="0" w:color="auto"/>
        </w:pBdr>
        <w:rPr>
          <w:w w:val="100"/>
          <w:sz w:val="20"/>
          <w:szCs w:val="20"/>
        </w:rPr>
      </w:pPr>
      <w:r w:rsidRPr="003D28FF">
        <w:rPr>
          <w:w w:val="100"/>
          <w:sz w:val="20"/>
          <w:szCs w:val="20"/>
          <w:vertAlign w:val="superscript"/>
        </w:rPr>
        <w:t>5</w:t>
      </w:r>
      <w:r w:rsidRPr="00EB3C35">
        <w:rPr>
          <w:w w:val="100"/>
          <w:sz w:val="20"/>
          <w:szCs w:val="20"/>
        </w:rPr>
        <w:tab/>
        <w:t>Роботодавець / платник — роботодавець у значенні, наведеному у Законі України «Про основи соціальної захищеності осіб з інвалідністю в Україні». Набуває статус платника внеску на підтримку працевлаштування осіб з інвалідністю, у разі якщо середньооблікова кількість штатних працівників облікового складу за звітний період становить від 8 осіб і більше та водночас не виконано норматив робочих місць для працевлаштування осіб з інвалідністю.</w:t>
      </w:r>
    </w:p>
    <w:p w14:paraId="2F110DF2" w14:textId="77777777" w:rsidR="003D28FF" w:rsidRPr="00EB3C35" w:rsidRDefault="003D28FF" w:rsidP="003D28FF">
      <w:pPr>
        <w:pStyle w:val="SnoskaSNOSKI"/>
        <w:pBdr>
          <w:top w:val="none" w:sz="0" w:space="0" w:color="auto"/>
        </w:pBdr>
        <w:rPr>
          <w:w w:val="100"/>
          <w:sz w:val="20"/>
          <w:szCs w:val="20"/>
        </w:rPr>
      </w:pPr>
      <w:r w:rsidRPr="003D28FF">
        <w:rPr>
          <w:w w:val="100"/>
          <w:sz w:val="20"/>
          <w:szCs w:val="20"/>
          <w:vertAlign w:val="superscript"/>
        </w:rPr>
        <w:t>6</w:t>
      </w:r>
      <w:r w:rsidRPr="00EB3C35">
        <w:rPr>
          <w:w w:val="100"/>
          <w:sz w:val="20"/>
          <w:szCs w:val="20"/>
        </w:rPr>
        <w:tab/>
        <w:t>Зазначається код згідно з ЄДРПОУ роботодавця / платника або реєстраційний номер облікової картки платника податків — фізичної особи.</w:t>
      </w:r>
    </w:p>
    <w:p w14:paraId="3C50B749" w14:textId="77777777" w:rsidR="003D28FF" w:rsidRPr="00EB3C35" w:rsidRDefault="003D28FF" w:rsidP="003D28FF">
      <w:pPr>
        <w:pStyle w:val="SnoskaSNOSKI"/>
        <w:pBdr>
          <w:top w:val="none" w:sz="0" w:space="0" w:color="auto"/>
        </w:pBdr>
        <w:rPr>
          <w:w w:val="100"/>
          <w:sz w:val="20"/>
          <w:szCs w:val="20"/>
        </w:rPr>
      </w:pPr>
      <w:r w:rsidRPr="003D28FF">
        <w:rPr>
          <w:w w:val="100"/>
          <w:sz w:val="20"/>
          <w:szCs w:val="20"/>
          <w:vertAlign w:val="superscript"/>
        </w:rPr>
        <w:t>7</w:t>
      </w:r>
      <w:r w:rsidRPr="003D28FF">
        <w:rPr>
          <w:w w:val="100"/>
          <w:sz w:val="20"/>
          <w:szCs w:val="20"/>
          <w:vertAlign w:val="superscript"/>
        </w:rPr>
        <w:tab/>
      </w:r>
      <w:r w:rsidRPr="00EB3C35">
        <w:rPr>
          <w:w w:val="100"/>
          <w:sz w:val="20"/>
          <w:szCs w:val="20"/>
        </w:rPr>
        <w:t>Серію (за наявності) та номер паспорта зазначають фізичні особи,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в паспорті.</w:t>
      </w:r>
    </w:p>
    <w:p w14:paraId="7F943219" w14:textId="77777777" w:rsidR="003D28FF" w:rsidRPr="00EB3C35" w:rsidRDefault="003D28FF" w:rsidP="003D28FF">
      <w:pPr>
        <w:pStyle w:val="SnoskaSNOSKI"/>
        <w:pBdr>
          <w:top w:val="none" w:sz="0" w:space="0" w:color="auto"/>
        </w:pBdr>
        <w:rPr>
          <w:w w:val="100"/>
          <w:sz w:val="20"/>
          <w:szCs w:val="20"/>
        </w:rPr>
      </w:pPr>
      <w:r w:rsidRPr="003D28FF">
        <w:rPr>
          <w:w w:val="100"/>
          <w:sz w:val="20"/>
          <w:szCs w:val="20"/>
          <w:vertAlign w:val="superscript"/>
        </w:rPr>
        <w:lastRenderedPageBreak/>
        <w:t>8</w:t>
      </w:r>
      <w:r w:rsidRPr="00EB3C35">
        <w:rPr>
          <w:w w:val="100"/>
          <w:sz w:val="20"/>
          <w:szCs w:val="20"/>
        </w:rPr>
        <w:tab/>
        <w:t>Зазначається код згідно з ЄДРПОУ ліквідованого платника в разі подання правонаступником або головним підприємством за ліквідовану філію Звіту з типом «Уточнюючий» щодо уточнення показників нарахування, обчислення та сплати внеску на підтримку працевлаштування осіб з інвалідністю платником, якого ліквідовано.</w:t>
      </w:r>
    </w:p>
    <w:p w14:paraId="7352ED54" w14:textId="77777777" w:rsidR="003D28FF" w:rsidRPr="00EB3C35" w:rsidRDefault="003D28FF" w:rsidP="003D28FF">
      <w:pPr>
        <w:pStyle w:val="SnoskaSNOSKI"/>
        <w:pBdr>
          <w:top w:val="none" w:sz="0" w:space="0" w:color="auto"/>
        </w:pBdr>
        <w:rPr>
          <w:w w:val="100"/>
          <w:sz w:val="20"/>
          <w:szCs w:val="20"/>
        </w:rPr>
      </w:pPr>
      <w:r w:rsidRPr="003D28FF">
        <w:rPr>
          <w:w w:val="100"/>
          <w:sz w:val="20"/>
          <w:szCs w:val="20"/>
          <w:vertAlign w:val="superscript"/>
        </w:rPr>
        <w:t>9</w:t>
      </w:r>
      <w:r w:rsidRPr="00EB3C35">
        <w:rPr>
          <w:w w:val="100"/>
          <w:sz w:val="20"/>
          <w:szCs w:val="20"/>
        </w:rPr>
        <w:tab/>
        <w:t>Зазначається код основного виду економічної діяльності (згідно з класифікацією видів економічної діяльності ДК 009:2010) або код статистичної класифікації виду економічної діяльності Європейського Співтовариства згідно з класифікацією NACE 2.1-UA.</w:t>
      </w:r>
    </w:p>
    <w:p w14:paraId="4F67A048" w14:textId="77777777" w:rsidR="003D28FF" w:rsidRPr="00EB3C35" w:rsidRDefault="003D28FF" w:rsidP="003D28FF">
      <w:pPr>
        <w:pStyle w:val="SnoskaSNOSKI"/>
        <w:pBdr>
          <w:top w:val="none" w:sz="0" w:space="0" w:color="auto"/>
        </w:pBdr>
        <w:rPr>
          <w:w w:val="100"/>
          <w:sz w:val="20"/>
          <w:szCs w:val="20"/>
        </w:rPr>
      </w:pPr>
      <w:r w:rsidRPr="003D28FF">
        <w:rPr>
          <w:w w:val="100"/>
          <w:sz w:val="20"/>
          <w:szCs w:val="20"/>
          <w:vertAlign w:val="superscript"/>
        </w:rPr>
        <w:t>10</w:t>
      </w:r>
      <w:r w:rsidRPr="00EB3C35">
        <w:rPr>
          <w:w w:val="100"/>
          <w:sz w:val="20"/>
          <w:szCs w:val="20"/>
        </w:rPr>
        <w:tab/>
        <w:t>Заповнюється виключно платником. У разі подання Звіту роботодавцем рядки 091–093, 1–5 розділу І, 1–3 розділу ІІ, 1–5 розділу ІІІ прокреслюються (у разі подання Звіту у паперовій формі) або залишаються пустими (у разі подання Звіту в електронній формі), крім випадків подання Звіту з типом «Уточнюючий» роботодавцем, який є правонаступником або головним підприємством (за ліквідовану філію) щодо уточнення показників нарахування, обчислення та сплати внеску на підтримку працевлаштування осіб з інвалідністю платником, якого ліквідовано.</w:t>
      </w:r>
    </w:p>
    <w:p w14:paraId="557CD23B" w14:textId="77777777" w:rsidR="003D28FF" w:rsidRPr="00EB3C35" w:rsidRDefault="003D28FF" w:rsidP="003D28FF">
      <w:pPr>
        <w:pStyle w:val="SnoskaSNOSKI"/>
        <w:pBdr>
          <w:top w:val="none" w:sz="0" w:space="0" w:color="auto"/>
        </w:pBdr>
        <w:rPr>
          <w:w w:val="100"/>
          <w:sz w:val="20"/>
          <w:szCs w:val="20"/>
        </w:rPr>
      </w:pPr>
      <w:r w:rsidRPr="003D28FF">
        <w:rPr>
          <w:w w:val="100"/>
          <w:sz w:val="20"/>
          <w:szCs w:val="20"/>
          <w:vertAlign w:val="superscript"/>
        </w:rPr>
        <w:t>11</w:t>
      </w:r>
      <w:r w:rsidRPr="00EB3C35">
        <w:rPr>
          <w:w w:val="100"/>
          <w:sz w:val="20"/>
          <w:szCs w:val="20"/>
        </w:rPr>
        <w:tab/>
        <w:t>Визначається за методикою, затвердженою центральним органом виконавчої влади, що забезпечує формування державної політики у сфері статистики. У разі здійснення розрахунку нормативу робочих місць для працевлаштування осіб з інвалідністю до середньооблікової кількості осіб штатного облікового складу не включаються штатні одиниці, що належать до робіт, професій з важкими, шкідливими чи небезпечними умовами праці, перелік яких затверджено постановою Кабінет Міністрів України від 1 квітня 2026 року № 490.</w:t>
      </w:r>
    </w:p>
    <w:p w14:paraId="309A06BD" w14:textId="77777777" w:rsidR="003D28FF" w:rsidRPr="00EB3C35" w:rsidRDefault="003D28FF" w:rsidP="003D28FF">
      <w:pPr>
        <w:pStyle w:val="SnoskaSNOSKI"/>
        <w:pBdr>
          <w:top w:val="none" w:sz="0" w:space="0" w:color="auto"/>
        </w:pBdr>
        <w:rPr>
          <w:w w:val="100"/>
          <w:sz w:val="20"/>
          <w:szCs w:val="20"/>
        </w:rPr>
      </w:pPr>
      <w:r w:rsidRPr="003D28FF">
        <w:rPr>
          <w:w w:val="100"/>
          <w:sz w:val="20"/>
          <w:szCs w:val="20"/>
          <w:vertAlign w:val="superscript"/>
        </w:rPr>
        <w:t>12</w:t>
      </w:r>
      <w:r w:rsidRPr="00EB3C35">
        <w:rPr>
          <w:w w:val="100"/>
          <w:sz w:val="20"/>
          <w:szCs w:val="20"/>
        </w:rPr>
        <w:tab/>
        <w:t>Визначається з врахуванням вимог Порядку обчислення середньомісячної заробітної плати (винагороди) для розрахунку внеску на підтримку працевлаштування осіб з інвалідністю, затвердженого постановою Кабінету Міністрів України від 25 лютого 2026 року № 268.</w:t>
      </w:r>
    </w:p>
    <w:p w14:paraId="20014A51" w14:textId="77777777" w:rsidR="003D28FF" w:rsidRPr="00EB3C35" w:rsidRDefault="003D28FF" w:rsidP="003D28FF">
      <w:pPr>
        <w:pStyle w:val="SnoskaSNOSKI"/>
        <w:pBdr>
          <w:top w:val="none" w:sz="0" w:space="0" w:color="auto"/>
        </w:pBdr>
        <w:rPr>
          <w:w w:val="100"/>
          <w:sz w:val="20"/>
          <w:szCs w:val="20"/>
        </w:rPr>
      </w:pPr>
      <w:r w:rsidRPr="003D28FF">
        <w:rPr>
          <w:w w:val="100"/>
          <w:sz w:val="20"/>
          <w:szCs w:val="20"/>
          <w:vertAlign w:val="superscript"/>
        </w:rPr>
        <w:t>13</w:t>
      </w:r>
      <w:r w:rsidRPr="00EB3C35">
        <w:rPr>
          <w:w w:val="100"/>
          <w:sz w:val="20"/>
          <w:szCs w:val="20"/>
        </w:rPr>
        <w:tab/>
        <w:t>Розрахунок здійснюється з врахуванням вимог, визначених у статті 182 Закону України «Про основи соціальної захищеності осіб з інвалідністю в Україні» щодо розміру оплати їх праці.</w:t>
      </w:r>
    </w:p>
    <w:p w14:paraId="6C8CCE1B" w14:textId="77777777" w:rsidR="003D28FF" w:rsidRPr="00EB3C35" w:rsidRDefault="003D28FF" w:rsidP="003D28FF">
      <w:pPr>
        <w:pStyle w:val="SnoskaSNOSKI"/>
        <w:pBdr>
          <w:top w:val="none" w:sz="0" w:space="0" w:color="auto"/>
        </w:pBdr>
        <w:rPr>
          <w:w w:val="100"/>
          <w:sz w:val="20"/>
          <w:szCs w:val="20"/>
        </w:rPr>
      </w:pPr>
      <w:r w:rsidRPr="003D28FF">
        <w:rPr>
          <w:w w:val="100"/>
          <w:sz w:val="20"/>
          <w:szCs w:val="20"/>
          <w:vertAlign w:val="superscript"/>
        </w:rPr>
        <w:t>14</w:t>
      </w:r>
      <w:r w:rsidRPr="00EB3C35">
        <w:rPr>
          <w:w w:val="100"/>
          <w:sz w:val="20"/>
          <w:szCs w:val="20"/>
        </w:rPr>
        <w:tab/>
        <w:t>Розраховується за формулою:</w:t>
      </w:r>
    </w:p>
    <w:p w14:paraId="70CBC2FD" w14:textId="77777777" w:rsidR="003D28FF" w:rsidRPr="00EB3C35" w:rsidRDefault="003D28FF" w:rsidP="003D28FF">
      <w:pPr>
        <w:pStyle w:val="SnoskaSNOSKI"/>
        <w:pBdr>
          <w:top w:val="none" w:sz="0" w:space="0" w:color="auto"/>
        </w:pBdr>
        <w:rPr>
          <w:w w:val="100"/>
          <w:sz w:val="20"/>
          <w:szCs w:val="20"/>
        </w:rPr>
      </w:pPr>
      <w:r w:rsidRPr="00EB3C35">
        <w:rPr>
          <w:w w:val="100"/>
          <w:sz w:val="20"/>
          <w:szCs w:val="20"/>
        </w:rPr>
        <w:tab/>
      </w:r>
      <w:r w:rsidRPr="00EB3C35">
        <w:rPr>
          <w:w w:val="100"/>
          <w:sz w:val="20"/>
          <w:szCs w:val="20"/>
        </w:rPr>
        <w:tab/>
        <w:t>S = 40 % х рядок 2 розділу ІІ х N х рядок 5 розділу І, де: S — сума внеску на підтримку працевлаштування осіб з інвалідністю,</w:t>
      </w:r>
    </w:p>
    <w:p w14:paraId="54045460" w14:textId="77777777" w:rsidR="003D28FF" w:rsidRPr="00EB3C35" w:rsidRDefault="003D28FF" w:rsidP="003D28FF">
      <w:pPr>
        <w:pStyle w:val="SnoskaSNOSKI"/>
        <w:pBdr>
          <w:top w:val="none" w:sz="0" w:space="0" w:color="auto"/>
        </w:pBdr>
        <w:rPr>
          <w:w w:val="100"/>
          <w:sz w:val="20"/>
          <w:szCs w:val="20"/>
        </w:rPr>
      </w:pPr>
      <w:r w:rsidRPr="00EB3C35">
        <w:rPr>
          <w:w w:val="100"/>
          <w:sz w:val="20"/>
          <w:szCs w:val="20"/>
        </w:rPr>
        <w:tab/>
      </w:r>
      <w:r w:rsidRPr="00EB3C35">
        <w:rPr>
          <w:w w:val="100"/>
          <w:sz w:val="20"/>
          <w:szCs w:val="20"/>
        </w:rPr>
        <w:tab/>
        <w:t>N — кількість місяців у кварталі.</w:t>
      </w:r>
    </w:p>
    <w:p w14:paraId="4525D971" w14:textId="77777777" w:rsidR="003D28FF" w:rsidRPr="00EB3C35" w:rsidRDefault="003D28FF" w:rsidP="003D28FF">
      <w:pPr>
        <w:pStyle w:val="SnoskaSNOSKI"/>
        <w:pBdr>
          <w:top w:val="none" w:sz="0" w:space="0" w:color="auto"/>
        </w:pBdr>
        <w:rPr>
          <w:w w:val="100"/>
          <w:sz w:val="20"/>
          <w:szCs w:val="20"/>
        </w:rPr>
      </w:pPr>
      <w:r w:rsidRPr="00EB3C35">
        <w:rPr>
          <w:w w:val="100"/>
          <w:sz w:val="20"/>
          <w:szCs w:val="20"/>
        </w:rPr>
        <w:tab/>
      </w:r>
      <w:r w:rsidRPr="00EB3C35">
        <w:rPr>
          <w:w w:val="100"/>
          <w:sz w:val="20"/>
          <w:szCs w:val="20"/>
        </w:rPr>
        <w:tab/>
        <w:t>На період дії воєнного стану в Україні та до останнього числа останнього місяця кварталу, в якому воєнний стан буде припинено чи скасовано, розрахунок здійснюється за формулою:</w:t>
      </w:r>
    </w:p>
    <w:p w14:paraId="58139379" w14:textId="77777777" w:rsidR="003D28FF" w:rsidRPr="00EB3C35" w:rsidRDefault="003D28FF" w:rsidP="003D28FF">
      <w:pPr>
        <w:pStyle w:val="SnoskaSNOSKI"/>
        <w:pBdr>
          <w:top w:val="none" w:sz="0" w:space="0" w:color="auto"/>
        </w:pBdr>
        <w:rPr>
          <w:w w:val="100"/>
          <w:sz w:val="20"/>
          <w:szCs w:val="20"/>
        </w:rPr>
      </w:pPr>
      <w:r w:rsidRPr="00EB3C35">
        <w:rPr>
          <w:w w:val="100"/>
          <w:sz w:val="20"/>
          <w:szCs w:val="20"/>
        </w:rPr>
        <w:tab/>
      </w:r>
      <w:r w:rsidRPr="00EB3C35">
        <w:rPr>
          <w:w w:val="100"/>
          <w:sz w:val="20"/>
          <w:szCs w:val="20"/>
        </w:rPr>
        <w:tab/>
        <w:t>S = (40 % х рядок 2 розділу ІІ х N х рядок 5 розділу І) х 50 %.</w:t>
      </w:r>
    </w:p>
    <w:p w14:paraId="020D777B" w14:textId="77777777" w:rsidR="003D28FF" w:rsidRPr="00EB3C35" w:rsidRDefault="003D28FF" w:rsidP="003D28FF">
      <w:pPr>
        <w:pStyle w:val="SnoskaSNOSKI"/>
        <w:pBdr>
          <w:top w:val="none" w:sz="0" w:space="0" w:color="auto"/>
        </w:pBdr>
        <w:rPr>
          <w:w w:val="100"/>
          <w:sz w:val="20"/>
          <w:szCs w:val="20"/>
        </w:rPr>
      </w:pPr>
      <w:r w:rsidRPr="003D28FF">
        <w:rPr>
          <w:w w:val="100"/>
          <w:sz w:val="20"/>
          <w:szCs w:val="20"/>
          <w:vertAlign w:val="superscript"/>
        </w:rPr>
        <w:t>15</w:t>
      </w:r>
      <w:r w:rsidRPr="00EB3C35">
        <w:rPr>
          <w:w w:val="100"/>
          <w:sz w:val="20"/>
          <w:szCs w:val="20"/>
        </w:rPr>
        <w:tab/>
        <w:t>Може бути заповнено винятково при поданні Звіту з типом «Уточнюючий».</w:t>
      </w:r>
    </w:p>
    <w:p w14:paraId="59AD5A16" w14:textId="77777777" w:rsidR="003D28FF" w:rsidRPr="00EB3C35" w:rsidRDefault="003D28FF" w:rsidP="003D28FF">
      <w:pPr>
        <w:pStyle w:val="SnoskaSNOSKI"/>
        <w:pBdr>
          <w:top w:val="none" w:sz="0" w:space="0" w:color="auto"/>
        </w:pBdr>
        <w:rPr>
          <w:w w:val="100"/>
          <w:sz w:val="20"/>
          <w:szCs w:val="20"/>
        </w:rPr>
      </w:pPr>
      <w:r w:rsidRPr="003D28FF">
        <w:rPr>
          <w:w w:val="100"/>
          <w:sz w:val="20"/>
          <w:szCs w:val="20"/>
          <w:vertAlign w:val="superscript"/>
        </w:rPr>
        <w:t>16</w:t>
      </w:r>
      <w:r w:rsidRPr="00EB3C35">
        <w:rPr>
          <w:w w:val="100"/>
          <w:sz w:val="20"/>
          <w:szCs w:val="20"/>
        </w:rPr>
        <w:tab/>
        <w:t>Дані рядка 3 розділу ІІ останнього Звіту з типом «Звітний» або «Звітний новий».</w:t>
      </w:r>
    </w:p>
    <w:p w14:paraId="6A65E4DE" w14:textId="77777777" w:rsidR="003D28FF" w:rsidRPr="00EB3C35" w:rsidRDefault="003D28FF" w:rsidP="003D28FF">
      <w:pPr>
        <w:pStyle w:val="SnoskaSNOSKI"/>
        <w:pBdr>
          <w:top w:val="none" w:sz="0" w:space="0" w:color="auto"/>
        </w:pBdr>
        <w:rPr>
          <w:w w:val="100"/>
          <w:sz w:val="20"/>
          <w:szCs w:val="20"/>
        </w:rPr>
      </w:pPr>
      <w:r w:rsidRPr="003D28FF">
        <w:rPr>
          <w:w w:val="100"/>
          <w:sz w:val="20"/>
          <w:szCs w:val="20"/>
          <w:vertAlign w:val="superscript"/>
        </w:rPr>
        <w:t>17</w:t>
      </w:r>
      <w:r w:rsidRPr="00EB3C35">
        <w:rPr>
          <w:w w:val="100"/>
          <w:sz w:val="20"/>
          <w:szCs w:val="20"/>
        </w:rPr>
        <w:tab/>
        <w:t>Зазначається тільки як позитивне значення.</w:t>
      </w:r>
    </w:p>
    <w:p w14:paraId="620A188D" w14:textId="77777777" w:rsidR="003D28FF" w:rsidRPr="00EB3C35" w:rsidRDefault="003D28FF" w:rsidP="003D28FF">
      <w:pPr>
        <w:pStyle w:val="SnoskaSNOSKI"/>
        <w:pBdr>
          <w:top w:val="none" w:sz="0" w:space="0" w:color="auto"/>
        </w:pBdr>
        <w:rPr>
          <w:w w:val="100"/>
          <w:sz w:val="20"/>
          <w:szCs w:val="20"/>
        </w:rPr>
      </w:pPr>
      <w:r w:rsidRPr="003D28FF">
        <w:rPr>
          <w:w w:val="100"/>
          <w:sz w:val="20"/>
          <w:szCs w:val="20"/>
          <w:vertAlign w:val="superscript"/>
        </w:rPr>
        <w:t>18</w:t>
      </w:r>
      <w:r w:rsidRPr="00EB3C35">
        <w:rPr>
          <w:w w:val="100"/>
          <w:sz w:val="20"/>
          <w:szCs w:val="20"/>
        </w:rPr>
        <w:tab/>
        <w:t>За наявності підстав нараховує платник самостійно відповідно статті 20</w:t>
      </w:r>
      <w:r w:rsidRPr="00EB3C35">
        <w:rPr>
          <w:w w:val="100"/>
          <w:sz w:val="20"/>
          <w:szCs w:val="20"/>
          <w:vertAlign w:val="superscript"/>
        </w:rPr>
        <w:t>1</w:t>
      </w:r>
      <w:r w:rsidRPr="00EB3C35">
        <w:rPr>
          <w:w w:val="100"/>
          <w:sz w:val="20"/>
          <w:szCs w:val="20"/>
        </w:rPr>
        <w:t xml:space="preserve"> Закону України «Про основи соціальної захищеності осіб з інвалідністю в Україні».</w:t>
      </w:r>
    </w:p>
    <w:p w14:paraId="385CB563" w14:textId="77777777" w:rsidR="003D28FF" w:rsidRPr="00EB3C35" w:rsidRDefault="003D28FF" w:rsidP="003D28FF">
      <w:pPr>
        <w:pStyle w:val="SnoskaSNOSKI"/>
        <w:pBdr>
          <w:top w:val="none" w:sz="0" w:space="0" w:color="auto"/>
        </w:pBdr>
        <w:rPr>
          <w:w w:val="100"/>
          <w:sz w:val="24"/>
          <w:szCs w:val="24"/>
        </w:rPr>
      </w:pPr>
    </w:p>
    <w:p w14:paraId="57A75A79" w14:textId="5720CD1F" w:rsidR="003D28FF" w:rsidRPr="00EB3C35" w:rsidRDefault="0073225F" w:rsidP="003D28FF">
      <w:pPr>
        <w:pStyle w:val="SnoskaSNOSKI"/>
        <w:pBdr>
          <w:top w:val="none" w:sz="0" w:space="0" w:color="auto"/>
        </w:pBdr>
        <w:rPr>
          <w:w w:val="100"/>
          <w:sz w:val="24"/>
          <w:szCs w:val="24"/>
        </w:rPr>
      </w:pPr>
      <w:r>
        <w:rPr>
          <w:noProof/>
          <w:w w:val="100"/>
          <w:sz w:val="24"/>
          <w:szCs w:val="24"/>
          <w14:ligatures w14:val="standardContextual"/>
        </w:rPr>
        <w:drawing>
          <wp:inline distT="0" distB="0" distL="0" distR="0" wp14:anchorId="206A0BA9" wp14:editId="544F2907">
            <wp:extent cx="6298390" cy="1083048"/>
            <wp:effectExtent l="0" t="0" r="7620" b="3175"/>
            <wp:docPr id="160242434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424344" name="Рисунок 1602424344"/>
                    <pic:cNvPicPr/>
                  </pic:nvPicPr>
                  <pic:blipFill>
                    <a:blip r:embed="rId8">
                      <a:extLst>
                        <a:ext uri="{28A0092B-C50C-407E-A947-70E740481C1C}">
                          <a14:useLocalDpi xmlns:a14="http://schemas.microsoft.com/office/drawing/2010/main" val="0"/>
                        </a:ext>
                      </a:extLst>
                    </a:blip>
                    <a:stretch>
                      <a:fillRect/>
                    </a:stretch>
                  </pic:blipFill>
                  <pic:spPr>
                    <a:xfrm>
                      <a:off x="0" y="0"/>
                      <a:ext cx="6298390" cy="1083048"/>
                    </a:xfrm>
                    <a:prstGeom prst="rect">
                      <a:avLst/>
                    </a:prstGeom>
                  </pic:spPr>
                </pic:pic>
              </a:graphicData>
            </a:graphic>
          </wp:inline>
        </w:drawing>
      </w:r>
    </w:p>
    <w:p w14:paraId="4A46C70C" w14:textId="77777777" w:rsidR="003D28FF" w:rsidRPr="00EB3C35" w:rsidRDefault="003D28FF" w:rsidP="003D28FF">
      <w:pPr>
        <w:pStyle w:val="Ch60"/>
        <w:tabs>
          <w:tab w:val="clear" w:pos="7427"/>
        </w:tabs>
        <w:spacing w:before="227"/>
        <w:rPr>
          <w:w w:val="100"/>
          <w:sz w:val="24"/>
          <w:szCs w:val="24"/>
        </w:rPr>
      </w:pPr>
      <w:r w:rsidRPr="00EB3C35">
        <w:rPr>
          <w:w w:val="100"/>
          <w:sz w:val="24"/>
          <w:szCs w:val="24"/>
        </w:rPr>
        <w:t>Директор Департаменту</w:t>
      </w:r>
      <w:r w:rsidRPr="00EB3C35">
        <w:rPr>
          <w:w w:val="100"/>
          <w:sz w:val="24"/>
          <w:szCs w:val="24"/>
        </w:rPr>
        <w:br/>
        <w:t>податкової політики</w:t>
      </w:r>
      <w:r w:rsidRPr="00EB3C35">
        <w:rPr>
          <w:w w:val="100"/>
          <w:sz w:val="24"/>
          <w:szCs w:val="24"/>
        </w:rPr>
        <w:tab/>
        <w:t>Віктор ОВЧАРЕНКО</w:t>
      </w:r>
    </w:p>
    <w:p w14:paraId="184EF133" w14:textId="77777777" w:rsidR="003D28FF" w:rsidRPr="00EB3C35" w:rsidRDefault="003D28FF" w:rsidP="003D28FF">
      <w:pPr>
        <w:pStyle w:val="Ch6"/>
        <w:rPr>
          <w:w w:val="100"/>
          <w:sz w:val="24"/>
          <w:szCs w:val="24"/>
        </w:rPr>
      </w:pPr>
    </w:p>
    <w:sectPr w:rsidR="003D28FF" w:rsidRPr="00EB3C35" w:rsidSect="003D28FF">
      <w:pgSz w:w="11906" w:h="16838" w:code="9"/>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E7FDD" w14:textId="77777777" w:rsidR="00A364FD" w:rsidRDefault="00A364FD" w:rsidP="00B05440">
      <w:pPr>
        <w:spacing w:after="0"/>
      </w:pPr>
      <w:r>
        <w:separator/>
      </w:r>
    </w:p>
  </w:endnote>
  <w:endnote w:type="continuationSeparator" w:id="0">
    <w:p w14:paraId="48C003C3" w14:textId="77777777" w:rsidR="00A364FD" w:rsidRDefault="00A364FD" w:rsidP="00B0544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Pragmatica-Bold">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C6EAC" w14:textId="77777777" w:rsidR="00A364FD" w:rsidRDefault="00A364FD" w:rsidP="00B05440">
      <w:pPr>
        <w:spacing w:after="0"/>
      </w:pPr>
      <w:r>
        <w:separator/>
      </w:r>
    </w:p>
  </w:footnote>
  <w:footnote w:type="continuationSeparator" w:id="0">
    <w:p w14:paraId="47F93F32" w14:textId="77777777" w:rsidR="00A364FD" w:rsidRDefault="00A364FD" w:rsidP="00B05440">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8FF"/>
    <w:rsid w:val="000B4994"/>
    <w:rsid w:val="00323DC7"/>
    <w:rsid w:val="003D28FF"/>
    <w:rsid w:val="006C0B77"/>
    <w:rsid w:val="0073225F"/>
    <w:rsid w:val="008242FF"/>
    <w:rsid w:val="00851FFA"/>
    <w:rsid w:val="00870751"/>
    <w:rsid w:val="00922C48"/>
    <w:rsid w:val="00A364FD"/>
    <w:rsid w:val="00B05440"/>
    <w:rsid w:val="00B915B7"/>
    <w:rsid w:val="00EA59DF"/>
    <w:rsid w:val="00EE4070"/>
    <w:rsid w:val="00F12C76"/>
    <w:rsid w:val="00F378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10A6A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kern w:val="0"/>
      <w:sz w:val="28"/>
      <w14:ligatures w14:val="none"/>
    </w:rPr>
  </w:style>
  <w:style w:type="paragraph" w:styleId="1">
    <w:name w:val="heading 1"/>
    <w:basedOn w:val="a"/>
    <w:next w:val="a"/>
    <w:link w:val="10"/>
    <w:uiPriority w:val="9"/>
    <w:qFormat/>
    <w:rsid w:val="003D28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D28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D28FF"/>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3D28F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3D28FF"/>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3D28FF"/>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3D28FF"/>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3D28FF"/>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3D28FF"/>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D28FF"/>
    <w:rPr>
      <w:rFonts w:asciiTheme="majorHAnsi" w:eastAsiaTheme="majorEastAsia" w:hAnsiTheme="majorHAnsi" w:cstheme="majorBidi"/>
      <w:color w:val="2F5496" w:themeColor="accent1" w:themeShade="BF"/>
      <w:kern w:val="0"/>
      <w:sz w:val="40"/>
      <w:szCs w:val="40"/>
      <w14:ligatures w14:val="none"/>
    </w:rPr>
  </w:style>
  <w:style w:type="character" w:customStyle="1" w:styleId="20">
    <w:name w:val="Заголовок 2 Знак"/>
    <w:basedOn w:val="a0"/>
    <w:link w:val="2"/>
    <w:uiPriority w:val="9"/>
    <w:semiHidden/>
    <w:rsid w:val="003D28FF"/>
    <w:rPr>
      <w:rFonts w:asciiTheme="majorHAnsi" w:eastAsiaTheme="majorEastAsia" w:hAnsiTheme="majorHAnsi" w:cstheme="majorBidi"/>
      <w:color w:val="2F5496" w:themeColor="accent1" w:themeShade="BF"/>
      <w:kern w:val="0"/>
      <w:sz w:val="32"/>
      <w:szCs w:val="32"/>
      <w14:ligatures w14:val="none"/>
    </w:rPr>
  </w:style>
  <w:style w:type="character" w:customStyle="1" w:styleId="30">
    <w:name w:val="Заголовок 3 Знак"/>
    <w:basedOn w:val="a0"/>
    <w:link w:val="3"/>
    <w:uiPriority w:val="9"/>
    <w:semiHidden/>
    <w:rsid w:val="003D28FF"/>
    <w:rPr>
      <w:rFonts w:eastAsiaTheme="majorEastAsia" w:cstheme="majorBidi"/>
      <w:color w:val="2F5496" w:themeColor="accent1" w:themeShade="BF"/>
      <w:kern w:val="0"/>
      <w:sz w:val="28"/>
      <w:szCs w:val="28"/>
      <w14:ligatures w14:val="none"/>
    </w:rPr>
  </w:style>
  <w:style w:type="character" w:customStyle="1" w:styleId="40">
    <w:name w:val="Заголовок 4 Знак"/>
    <w:basedOn w:val="a0"/>
    <w:link w:val="4"/>
    <w:uiPriority w:val="9"/>
    <w:semiHidden/>
    <w:rsid w:val="003D28FF"/>
    <w:rPr>
      <w:rFonts w:eastAsiaTheme="majorEastAsia" w:cstheme="majorBidi"/>
      <w:i/>
      <w:iCs/>
      <w:color w:val="2F5496" w:themeColor="accent1" w:themeShade="BF"/>
      <w:kern w:val="0"/>
      <w:sz w:val="28"/>
      <w14:ligatures w14:val="none"/>
    </w:rPr>
  </w:style>
  <w:style w:type="character" w:customStyle="1" w:styleId="50">
    <w:name w:val="Заголовок 5 Знак"/>
    <w:basedOn w:val="a0"/>
    <w:link w:val="5"/>
    <w:uiPriority w:val="9"/>
    <w:semiHidden/>
    <w:rsid w:val="003D28FF"/>
    <w:rPr>
      <w:rFonts w:eastAsiaTheme="majorEastAsia" w:cstheme="majorBidi"/>
      <w:color w:val="2F5496" w:themeColor="accent1" w:themeShade="BF"/>
      <w:kern w:val="0"/>
      <w:sz w:val="28"/>
      <w14:ligatures w14:val="none"/>
    </w:rPr>
  </w:style>
  <w:style w:type="character" w:customStyle="1" w:styleId="60">
    <w:name w:val="Заголовок 6 Знак"/>
    <w:basedOn w:val="a0"/>
    <w:link w:val="6"/>
    <w:uiPriority w:val="9"/>
    <w:semiHidden/>
    <w:rsid w:val="003D28FF"/>
    <w:rPr>
      <w:rFonts w:eastAsiaTheme="majorEastAsia" w:cstheme="majorBidi"/>
      <w:i/>
      <w:iCs/>
      <w:color w:val="595959" w:themeColor="text1" w:themeTint="A6"/>
      <w:kern w:val="0"/>
      <w:sz w:val="28"/>
      <w14:ligatures w14:val="none"/>
    </w:rPr>
  </w:style>
  <w:style w:type="character" w:customStyle="1" w:styleId="70">
    <w:name w:val="Заголовок 7 Знак"/>
    <w:basedOn w:val="a0"/>
    <w:link w:val="7"/>
    <w:uiPriority w:val="9"/>
    <w:semiHidden/>
    <w:rsid w:val="003D28FF"/>
    <w:rPr>
      <w:rFonts w:eastAsiaTheme="majorEastAsia" w:cstheme="majorBidi"/>
      <w:color w:val="595959" w:themeColor="text1" w:themeTint="A6"/>
      <w:kern w:val="0"/>
      <w:sz w:val="28"/>
      <w14:ligatures w14:val="none"/>
    </w:rPr>
  </w:style>
  <w:style w:type="character" w:customStyle="1" w:styleId="80">
    <w:name w:val="Заголовок 8 Знак"/>
    <w:basedOn w:val="a0"/>
    <w:link w:val="8"/>
    <w:uiPriority w:val="9"/>
    <w:semiHidden/>
    <w:rsid w:val="003D28FF"/>
    <w:rPr>
      <w:rFonts w:eastAsiaTheme="majorEastAsia" w:cstheme="majorBidi"/>
      <w:i/>
      <w:iCs/>
      <w:color w:val="272727" w:themeColor="text1" w:themeTint="D8"/>
      <w:kern w:val="0"/>
      <w:sz w:val="28"/>
      <w14:ligatures w14:val="none"/>
    </w:rPr>
  </w:style>
  <w:style w:type="character" w:customStyle="1" w:styleId="90">
    <w:name w:val="Заголовок 9 Знак"/>
    <w:basedOn w:val="a0"/>
    <w:link w:val="9"/>
    <w:uiPriority w:val="9"/>
    <w:semiHidden/>
    <w:rsid w:val="003D28FF"/>
    <w:rPr>
      <w:rFonts w:eastAsiaTheme="majorEastAsia" w:cstheme="majorBidi"/>
      <w:color w:val="272727" w:themeColor="text1" w:themeTint="D8"/>
      <w:kern w:val="0"/>
      <w:sz w:val="28"/>
      <w14:ligatures w14:val="none"/>
    </w:rPr>
  </w:style>
  <w:style w:type="paragraph" w:styleId="a3">
    <w:name w:val="Title"/>
    <w:basedOn w:val="a"/>
    <w:next w:val="a"/>
    <w:link w:val="a4"/>
    <w:uiPriority w:val="10"/>
    <w:qFormat/>
    <w:rsid w:val="003D28FF"/>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D28FF"/>
    <w:rPr>
      <w:rFonts w:asciiTheme="majorHAnsi" w:eastAsiaTheme="majorEastAsia" w:hAnsiTheme="majorHAnsi" w:cstheme="majorBidi"/>
      <w:spacing w:val="-10"/>
      <w:kern w:val="28"/>
      <w:sz w:val="56"/>
      <w:szCs w:val="56"/>
      <w14:ligatures w14:val="none"/>
    </w:rPr>
  </w:style>
  <w:style w:type="paragraph" w:styleId="a5">
    <w:name w:val="Subtitle"/>
    <w:basedOn w:val="a"/>
    <w:next w:val="a"/>
    <w:link w:val="a6"/>
    <w:uiPriority w:val="11"/>
    <w:qFormat/>
    <w:rsid w:val="003D28FF"/>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3D28FF"/>
    <w:rPr>
      <w:rFonts w:eastAsiaTheme="majorEastAsia" w:cstheme="majorBidi"/>
      <w:color w:val="595959" w:themeColor="text1" w:themeTint="A6"/>
      <w:spacing w:val="15"/>
      <w:kern w:val="0"/>
      <w:sz w:val="28"/>
      <w:szCs w:val="28"/>
      <w14:ligatures w14:val="none"/>
    </w:rPr>
  </w:style>
  <w:style w:type="paragraph" w:styleId="21">
    <w:name w:val="Quote"/>
    <w:basedOn w:val="a"/>
    <w:next w:val="a"/>
    <w:link w:val="22"/>
    <w:uiPriority w:val="29"/>
    <w:qFormat/>
    <w:rsid w:val="003D28FF"/>
    <w:pPr>
      <w:spacing w:before="160"/>
      <w:jc w:val="center"/>
    </w:pPr>
    <w:rPr>
      <w:i/>
      <w:iCs/>
      <w:color w:val="404040" w:themeColor="text1" w:themeTint="BF"/>
    </w:rPr>
  </w:style>
  <w:style w:type="character" w:customStyle="1" w:styleId="22">
    <w:name w:val="Цитата 2 Знак"/>
    <w:basedOn w:val="a0"/>
    <w:link w:val="21"/>
    <w:uiPriority w:val="29"/>
    <w:rsid w:val="003D28FF"/>
    <w:rPr>
      <w:rFonts w:ascii="Times New Roman" w:hAnsi="Times New Roman"/>
      <w:i/>
      <w:iCs/>
      <w:color w:val="404040" w:themeColor="text1" w:themeTint="BF"/>
      <w:kern w:val="0"/>
      <w:sz w:val="28"/>
      <w14:ligatures w14:val="none"/>
    </w:rPr>
  </w:style>
  <w:style w:type="paragraph" w:styleId="a7">
    <w:name w:val="List Paragraph"/>
    <w:basedOn w:val="a"/>
    <w:uiPriority w:val="34"/>
    <w:qFormat/>
    <w:rsid w:val="003D28FF"/>
    <w:pPr>
      <w:ind w:left="720"/>
      <w:contextualSpacing/>
    </w:pPr>
  </w:style>
  <w:style w:type="character" w:styleId="a8">
    <w:name w:val="Intense Emphasis"/>
    <w:basedOn w:val="a0"/>
    <w:uiPriority w:val="21"/>
    <w:qFormat/>
    <w:rsid w:val="003D28FF"/>
    <w:rPr>
      <w:i/>
      <w:iCs/>
      <w:color w:val="2F5496" w:themeColor="accent1" w:themeShade="BF"/>
    </w:rPr>
  </w:style>
  <w:style w:type="paragraph" w:styleId="a9">
    <w:name w:val="Intense Quote"/>
    <w:basedOn w:val="a"/>
    <w:next w:val="a"/>
    <w:link w:val="aa"/>
    <w:uiPriority w:val="30"/>
    <w:qFormat/>
    <w:rsid w:val="003D28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D28FF"/>
    <w:rPr>
      <w:rFonts w:ascii="Times New Roman" w:hAnsi="Times New Roman"/>
      <w:i/>
      <w:iCs/>
      <w:color w:val="2F5496" w:themeColor="accent1" w:themeShade="BF"/>
      <w:kern w:val="0"/>
      <w:sz w:val="28"/>
      <w14:ligatures w14:val="none"/>
    </w:rPr>
  </w:style>
  <w:style w:type="character" w:styleId="ab">
    <w:name w:val="Intense Reference"/>
    <w:basedOn w:val="a0"/>
    <w:uiPriority w:val="32"/>
    <w:qFormat/>
    <w:rsid w:val="003D28FF"/>
    <w:rPr>
      <w:b/>
      <w:bCs/>
      <w:smallCaps/>
      <w:color w:val="2F5496" w:themeColor="accent1" w:themeShade="BF"/>
      <w:spacing w:val="5"/>
    </w:rPr>
  </w:style>
  <w:style w:type="paragraph" w:customStyle="1" w:styleId="Ch6">
    <w:name w:val="Основной текст (Ch_6 Міністерства)"/>
    <w:basedOn w:val="a"/>
    <w:uiPriority w:val="99"/>
    <w:rsid w:val="003D28FF"/>
    <w:pPr>
      <w:widowControl w:val="0"/>
      <w:tabs>
        <w:tab w:val="right" w:pos="7710"/>
        <w:tab w:val="right" w:pos="11514"/>
      </w:tabs>
      <w:autoSpaceDE w:val="0"/>
      <w:autoSpaceDN w:val="0"/>
      <w:adjustRightInd w:val="0"/>
      <w:spacing w:after="0" w:line="257" w:lineRule="auto"/>
      <w:ind w:firstLine="283"/>
      <w:jc w:val="both"/>
      <w:textAlignment w:val="center"/>
    </w:pPr>
    <w:rPr>
      <w:rFonts w:ascii="Pragmatica-Book" w:eastAsiaTheme="minorEastAsia" w:hAnsi="Pragmatica-Book" w:cs="Pragmatica-Book"/>
      <w:color w:val="000000"/>
      <w:w w:val="90"/>
      <w:sz w:val="18"/>
      <w:szCs w:val="18"/>
      <w:lang w:val="uk-UA" w:eastAsia="uk-UA"/>
    </w:rPr>
  </w:style>
  <w:style w:type="paragraph" w:customStyle="1" w:styleId="Ch60">
    <w:name w:val="подпись (Ch_6 Міністерства)"/>
    <w:basedOn w:val="a"/>
    <w:next w:val="a"/>
    <w:uiPriority w:val="99"/>
    <w:rsid w:val="003D28FF"/>
    <w:pPr>
      <w:widowControl w:val="0"/>
      <w:tabs>
        <w:tab w:val="right" w:pos="7427"/>
        <w:tab w:val="right" w:pos="11401"/>
      </w:tabs>
      <w:autoSpaceDE w:val="0"/>
      <w:autoSpaceDN w:val="0"/>
      <w:adjustRightInd w:val="0"/>
      <w:spacing w:before="85" w:after="0" w:line="257" w:lineRule="auto"/>
      <w:ind w:left="283" w:right="283"/>
      <w:textAlignment w:val="center"/>
    </w:pPr>
    <w:rPr>
      <w:rFonts w:ascii="Pragmatica-Bold" w:eastAsiaTheme="minorEastAsia" w:hAnsi="Pragmatica-Bold" w:cs="Pragmatica-Bold"/>
      <w:b/>
      <w:bCs/>
      <w:color w:val="000000"/>
      <w:w w:val="90"/>
      <w:sz w:val="17"/>
      <w:szCs w:val="17"/>
      <w:lang w:val="uk-UA" w:eastAsia="uk-UA"/>
    </w:rPr>
  </w:style>
  <w:style w:type="paragraph" w:customStyle="1" w:styleId="SnoskaSNOSKI">
    <w:name w:val="Snoska* (SNOSKI)"/>
    <w:basedOn w:val="a"/>
    <w:uiPriority w:val="99"/>
    <w:rsid w:val="003D28FF"/>
    <w:pPr>
      <w:widowControl w:val="0"/>
      <w:pBdr>
        <w:top w:val="single" w:sz="4" w:space="11" w:color="auto"/>
      </w:pBdr>
      <w:tabs>
        <w:tab w:val="left" w:pos="85"/>
        <w:tab w:val="left" w:pos="170"/>
        <w:tab w:val="left" w:pos="255"/>
        <w:tab w:val="left" w:pos="340"/>
        <w:tab w:val="left" w:pos="425"/>
        <w:tab w:val="left" w:pos="510"/>
        <w:tab w:val="left" w:pos="595"/>
        <w:tab w:val="left" w:pos="680"/>
        <w:tab w:val="left" w:pos="765"/>
        <w:tab w:val="left" w:pos="850"/>
        <w:tab w:val="left" w:pos="935"/>
        <w:tab w:val="left" w:pos="2154"/>
        <w:tab w:val="right" w:pos="6350"/>
      </w:tabs>
      <w:autoSpaceDE w:val="0"/>
      <w:autoSpaceDN w:val="0"/>
      <w:adjustRightInd w:val="0"/>
      <w:spacing w:after="0" w:line="257" w:lineRule="auto"/>
      <w:jc w:val="both"/>
      <w:textAlignment w:val="center"/>
    </w:pPr>
    <w:rPr>
      <w:rFonts w:ascii="Pragmatica-Book" w:eastAsiaTheme="minorEastAsia" w:hAnsi="Pragmatica-Book" w:cs="Pragmatica-Book"/>
      <w:color w:val="000000"/>
      <w:w w:val="90"/>
      <w:sz w:val="15"/>
      <w:szCs w:val="15"/>
      <w:lang w:val="uk-UA" w:eastAsia="uk-UA"/>
    </w:rPr>
  </w:style>
  <w:style w:type="paragraph" w:styleId="ac">
    <w:name w:val="header"/>
    <w:basedOn w:val="a"/>
    <w:link w:val="ad"/>
    <w:uiPriority w:val="99"/>
    <w:unhideWhenUsed/>
    <w:rsid w:val="00B05440"/>
    <w:pPr>
      <w:tabs>
        <w:tab w:val="center" w:pos="4677"/>
        <w:tab w:val="right" w:pos="9355"/>
      </w:tabs>
      <w:spacing w:after="0"/>
    </w:pPr>
  </w:style>
  <w:style w:type="character" w:customStyle="1" w:styleId="ad">
    <w:name w:val="Верхний колонтитул Знак"/>
    <w:basedOn w:val="a0"/>
    <w:link w:val="ac"/>
    <w:uiPriority w:val="99"/>
    <w:rsid w:val="00B05440"/>
    <w:rPr>
      <w:rFonts w:ascii="Times New Roman" w:hAnsi="Times New Roman"/>
      <w:kern w:val="0"/>
      <w:sz w:val="28"/>
      <w14:ligatures w14:val="none"/>
    </w:rPr>
  </w:style>
  <w:style w:type="paragraph" w:styleId="ae">
    <w:name w:val="footer"/>
    <w:basedOn w:val="a"/>
    <w:link w:val="af"/>
    <w:uiPriority w:val="99"/>
    <w:unhideWhenUsed/>
    <w:rsid w:val="00B05440"/>
    <w:pPr>
      <w:tabs>
        <w:tab w:val="center" w:pos="4677"/>
        <w:tab w:val="right" w:pos="9355"/>
      </w:tabs>
      <w:spacing w:after="0"/>
    </w:pPr>
  </w:style>
  <w:style w:type="character" w:customStyle="1" w:styleId="af">
    <w:name w:val="Нижний колонтитул Знак"/>
    <w:basedOn w:val="a0"/>
    <w:link w:val="ae"/>
    <w:uiPriority w:val="99"/>
    <w:rsid w:val="00B05440"/>
    <w:rPr>
      <w:rFonts w:ascii="Times New Roman" w:hAnsi="Times New Roman"/>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626</Words>
  <Characters>3570</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2026-10-01T16:53:00Z</dcterms:created>
  <dcterms:modified xsi:type="dcterms:W3CDTF">2026-10-01T16:57:00Z</dcterms:modified>
</cp:coreProperties>
</file>